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F41F71" w:rsidP="00E75510" w14:paraId="217005EE" w14:textId="77777777">
      <w:pPr>
        <w:spacing w:after="0"/>
        <w:rPr>
          <w:rFonts w:ascii="Arial" w:eastAsia="Times New Roman" w:hAnsi="Arial" w:cs="Arial"/>
          <w:b/>
          <w:bCs/>
          <w:noProof/>
          <w:color w:val="000000" w:themeColor="text1"/>
          <w:kern w:val="36"/>
          <w:lang w:eastAsia="en-GB"/>
        </w:rPr>
      </w:pPr>
    </w:p>
    <w:p w:rsidR="00F41F71" w:rsidP="00E75510" w14:paraId="5BE47FF3" w14:textId="531CA7CA">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p w:rsidR="00F41F71" w:rsidP="00E75510" w14:paraId="670886BF" w14:textId="08878C43">
      <w:pPr>
        <w:spacing w:after="0"/>
        <w:rPr>
          <w:rFonts w:ascii="Arial" w:eastAsia="Times New Roman" w:hAnsi="Arial" w:cs="Arial"/>
          <w:b/>
          <w:bCs/>
          <w:noProof/>
          <w:color w:val="000000" w:themeColor="text1"/>
          <w:kern w:val="36"/>
          <w:lang w:eastAsia="en-GB"/>
        </w:rPr>
      </w:pP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4252"/>
        <w:gridCol w:w="2268"/>
      </w:tblGrid>
      <w:tr w14:paraId="14A6A535" w14:textId="77777777" w:rsidTr="00643408">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69"/>
        </w:trPr>
        <w:tc>
          <w:tcPr>
            <w:tcW w:w="3545" w:type="dxa"/>
            <w:shd w:val="clear" w:color="auto" w:fill="BFBFBF"/>
            <w:vAlign w:val="center"/>
          </w:tcPr>
          <w:p w:rsidR="00613EC1" w:rsidRPr="00D1305C" w:rsidP="00643408" w14:paraId="591BADEC" w14:textId="77777777">
            <w:pPr>
              <w:pStyle w:val="Heading2"/>
              <w:jc w:val="center"/>
            </w:pPr>
            <w:r>
              <w:t>Report of</w:t>
            </w:r>
          </w:p>
        </w:tc>
        <w:tc>
          <w:tcPr>
            <w:tcW w:w="4252" w:type="dxa"/>
            <w:shd w:val="clear" w:color="auto" w:fill="BFBFBF"/>
            <w:vAlign w:val="center"/>
          </w:tcPr>
          <w:p w:rsidR="00613EC1" w:rsidRPr="00D1305C" w:rsidP="00643408" w14:paraId="15EC1FB6" w14:textId="77777777">
            <w:pPr>
              <w:pStyle w:val="Heading2"/>
              <w:jc w:val="center"/>
            </w:pPr>
            <w:r>
              <w:t>Meeting</w:t>
            </w:r>
          </w:p>
        </w:tc>
        <w:tc>
          <w:tcPr>
            <w:tcW w:w="2268" w:type="dxa"/>
            <w:shd w:val="clear" w:color="auto" w:fill="BFBFBF"/>
            <w:vAlign w:val="center"/>
          </w:tcPr>
          <w:p w:rsidR="00613EC1" w:rsidRPr="00D1305C" w:rsidP="00643408" w14:paraId="1E894EF4" w14:textId="77777777">
            <w:pPr>
              <w:pStyle w:val="Heading2"/>
              <w:jc w:val="center"/>
            </w:pPr>
            <w:r>
              <w:t>Date</w:t>
            </w:r>
          </w:p>
        </w:tc>
      </w:tr>
      <w:tr w14:paraId="0E4958EF" w14:textId="77777777" w:rsidTr="00643408">
        <w:tblPrEx>
          <w:tblW w:w="10065" w:type="dxa"/>
          <w:tblLayout w:type="fixed"/>
          <w:tblLook w:val="0000"/>
        </w:tblPrEx>
        <w:trPr>
          <w:cantSplit/>
          <w:trHeight w:val="654"/>
        </w:trPr>
        <w:tc>
          <w:tcPr>
            <w:tcW w:w="3545" w:type="dxa"/>
            <w:tcBorders>
              <w:bottom w:val="single" w:sz="4" w:space="0" w:color="auto"/>
            </w:tcBorders>
            <w:shd w:val="clear" w:color="auto" w:fill="auto"/>
            <w:vAlign w:val="center"/>
          </w:tcPr>
          <w:p w:rsidR="005E7794" w:rsidRPr="007637E9" w:rsidP="006F27C3" w14:paraId="581CAF6E" w14:textId="77777777">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Finance and Section 151 Officer</w:t>
            </w:r>
            <w:r>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rsidR="00FB3074" w:rsidP="00737971" w14:paraId="5F82EC3F" w14:textId="77777777">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rsidR="00613EC1" w:rsidRPr="00737971" w:rsidP="00737971" w14:paraId="3CAE0C32" w14:textId="77777777">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rsidR="00613EC1" w:rsidRPr="007637E9" w:rsidP="00643408" w14:paraId="7C16B5CC" w14:textId="32136F7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 xml:space="preserve">Tuesday, </w:t>
            </w:r>
            <w:r>
              <w:rPr>
                <w:rFonts w:ascii="Arial" w:eastAsia="Times New Roman" w:hAnsi="Arial" w:cs="Arial"/>
                <w:color w:val="000000" w:themeColor="text1"/>
                <w:kern w:val="36"/>
                <w:lang w:eastAsia="en-GB"/>
              </w:rPr>
              <w:fldChar w:fldCharType="end"/>
            </w:r>
            <w:r w:rsidR="00987CBD">
              <w:rPr>
                <w:rFonts w:ascii="Arial" w:eastAsia="Times New Roman" w:hAnsi="Arial" w:cs="Arial"/>
                <w:color w:val="000000" w:themeColor="text1"/>
                <w:kern w:val="36"/>
                <w:lang w:eastAsia="en-GB"/>
              </w:rPr>
              <w:t>6th</w:t>
            </w:r>
            <w:r w:rsidR="00860959">
              <w:rPr>
                <w:rFonts w:ascii="Arial" w:eastAsia="Times New Roman" w:hAnsi="Arial" w:cs="Arial"/>
                <w:color w:val="000000" w:themeColor="text1"/>
                <w:kern w:val="36"/>
                <w:lang w:eastAsia="en-GB"/>
              </w:rPr>
              <w:t xml:space="preserve"> </w:t>
            </w:r>
            <w:r w:rsidR="00987CBD">
              <w:rPr>
                <w:rFonts w:ascii="Arial" w:eastAsia="Times New Roman" w:hAnsi="Arial" w:cs="Arial"/>
                <w:color w:val="000000" w:themeColor="text1"/>
                <w:kern w:val="36"/>
                <w:lang w:eastAsia="en-GB"/>
              </w:rPr>
              <w:t>Febr</w:t>
            </w:r>
            <w:r w:rsidR="00860959">
              <w:rPr>
                <w:rFonts w:ascii="Arial" w:eastAsia="Times New Roman" w:hAnsi="Arial" w:cs="Arial"/>
                <w:color w:val="000000" w:themeColor="text1"/>
                <w:kern w:val="36"/>
                <w:lang w:eastAsia="en-GB"/>
              </w:rPr>
              <w:t>uary 2024</w:t>
            </w:r>
          </w:p>
        </w:tc>
      </w:tr>
    </w:tbl>
    <w:p w:rsidR="00613EC1" w:rsidP="00E75510" w14:paraId="2EE58C30" w14:textId="77777777">
      <w:pPr>
        <w:spacing w:after="0"/>
        <w:rPr>
          <w:rFonts w:ascii="Arial" w:eastAsia="Times New Roman" w:hAnsi="Arial" w:cs="Arial"/>
          <w:b/>
          <w:bCs/>
          <w:noProof/>
          <w:color w:val="000000" w:themeColor="text1"/>
          <w:kern w:val="36"/>
          <w:lang w:eastAsia="en-GB"/>
        </w:rPr>
      </w:pPr>
    </w:p>
    <w:p w:rsidR="00F41F71" w:rsidRPr="00F41F71" w:rsidP="00BE1920" w14:paraId="6313C39E" w14:textId="726F3322">
      <w:pPr>
        <w:pStyle w:val="Heading1"/>
        <w:spacing w:before="0" w:beforeAutospacing="0" w:after="0" w:afterAutospacing="0"/>
        <w:rPr>
          <w:rFonts w:asciiTheme="majorHAnsi" w:hAnsiTheme="majorHAnsi" w:cstheme="majorHAnsi"/>
          <w:sz w:val="28"/>
          <w:szCs w:val="28"/>
        </w:rPr>
      </w:pPr>
    </w:p>
    <w:p w:rsidR="00BE1920" w:rsidP="00BE1920" w14:paraId="258AAF27" w14:textId="49F19947">
      <w:pPr>
        <w:pStyle w:val="Heading1"/>
        <w:spacing w:before="0" w:beforeAutospacing="0" w:after="0" w:afterAutospacing="0"/>
        <w:rPr>
          <w:rFonts w:asciiTheme="majorHAnsi" w:hAnsiTheme="majorHAnsi" w:cstheme="majorHAnsi"/>
          <w:sz w:val="28"/>
          <w:szCs w:val="28"/>
        </w:rPr>
      </w:pPr>
    </w:p>
    <w:p w:rsidR="00275E7C" w:rsidP="00BE1920" w14:paraId="033ABE85" w14:textId="03E1202A">
      <w:pPr>
        <w:pStyle w:val="Heading1"/>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t>Statement of Accounts 2022/23</w:t>
      </w:r>
    </w:p>
    <w:p w:rsidR="003E3722" w:rsidP="00E75510" w14:paraId="546E3C17" w14:textId="77777777">
      <w:pPr>
        <w:spacing w:after="0"/>
        <w:rPr>
          <w:rFonts w:ascii="Arial" w:eastAsia="Times New Roman" w:hAnsi="Arial" w:cs="Arial"/>
          <w:b/>
          <w:bCs/>
          <w:color w:val="000000" w:themeColor="text1"/>
          <w:kern w:val="36"/>
          <w:lang w:eastAsia="en-GB"/>
        </w:rPr>
      </w:pPr>
    </w:p>
    <w:tbl>
      <w:tblPr>
        <w:tblStyle w:val="TableGrid"/>
        <w:tblW w:w="0" w:type="auto"/>
        <w:tblInd w:w="-5" w:type="dxa"/>
        <w:tblLook w:val="04A0"/>
      </w:tblPr>
      <w:tblGrid>
        <w:gridCol w:w="4508"/>
        <w:gridCol w:w="4508"/>
      </w:tblGrid>
      <w:tr w14:paraId="289A566C" w14:textId="77777777" w:rsidTr="002F1805">
        <w:tblPrEx>
          <w:tblW w:w="0" w:type="auto"/>
          <w:tblInd w:w="-5" w:type="dxa"/>
          <w:tblLook w:val="04A0"/>
        </w:tblPrEx>
        <w:tc>
          <w:tcPr>
            <w:tcW w:w="4508" w:type="dxa"/>
          </w:tcPr>
          <w:p w:rsidR="00E75510" w:rsidRPr="00E75510" w:rsidP="00E75510" w14:paraId="24041ECA" w14:textId="77777777">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rsidR="00E75510" w:rsidRPr="00E75510" w:rsidP="00284855" w14:paraId="4D1DFC74" w14:textId="77777777">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rsidR="00E75510" w:rsidRPr="00E75510" w:rsidP="00284855" w14:paraId="126ADC83" w14:textId="77777777">
            <w:pPr>
              <w:pStyle w:val="Heading1"/>
              <w:spacing w:before="0" w:beforeAutospacing="0" w:after="0" w:afterAutospacing="0"/>
              <w:rPr>
                <w:rFonts w:asciiTheme="minorHAnsi" w:hAnsiTheme="minorHAnsi" w:cstheme="minorHAnsi"/>
                <w:sz w:val="22"/>
                <w:szCs w:val="22"/>
              </w:rPr>
            </w:pPr>
          </w:p>
        </w:tc>
      </w:tr>
    </w:tbl>
    <w:p w:rsidR="00CD4005" w:rsidP="006B62C4" w14:paraId="43F235FD" w14:textId="77777777">
      <w:pPr>
        <w:spacing w:after="0"/>
      </w:pPr>
    </w:p>
    <w:tbl>
      <w:tblPr>
        <w:tblStyle w:val="TableGrid"/>
        <w:tblW w:w="9021" w:type="dxa"/>
        <w:tblInd w:w="-5" w:type="dxa"/>
        <w:tblLook w:val="04A0"/>
      </w:tblPr>
      <w:tblGrid>
        <w:gridCol w:w="4513"/>
        <w:gridCol w:w="4508"/>
      </w:tblGrid>
      <w:tr w14:paraId="60592A14" w14:textId="77777777" w:rsidTr="002F1805">
        <w:tblPrEx>
          <w:tblW w:w="9021" w:type="dxa"/>
          <w:tblInd w:w="-5" w:type="dxa"/>
          <w:tblLook w:val="04A0"/>
        </w:tblPrEx>
        <w:tc>
          <w:tcPr>
            <w:tcW w:w="4513" w:type="dxa"/>
          </w:tcPr>
          <w:p w:rsidR="00E75510" w:rsidRPr="00E75510" w:rsidP="00E75510" w14:paraId="3E0E1310" w14:textId="77777777">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rsidR="00B6683B" w:rsidRPr="00E75510" w:rsidP="00B6683B" w14:paraId="3CFE12B9" w14:textId="77777777">
            <w:pPr>
              <w:rPr>
                <w:rFonts w:cstheme="minorHAnsi"/>
                <w:sz w:val="24"/>
                <w:szCs w:val="24"/>
              </w:rPr>
            </w:pPr>
            <w:r>
              <w:rPr>
                <w:rFonts w:eastAsia="Times New Roman" w:cstheme="minorHAnsi"/>
                <w:bCs/>
                <w:color w:val="000000" w:themeColor="text1"/>
                <w:kern w:val="36"/>
                <w:lang w:eastAsia="en-GB"/>
              </w:rPr>
              <w:t>N</w:t>
            </w:r>
            <w:r w:rsidRPr="00E75510" w:rsidR="008C6B99">
              <w:rPr>
                <w:rFonts w:eastAsia="Times New Roman" w:cstheme="minorHAnsi"/>
                <w:bCs/>
                <w:color w:val="000000" w:themeColor="text1"/>
                <w:kern w:val="36"/>
                <w:lang w:eastAsia="en-GB"/>
              </w:rPr>
              <w:t>o</w:t>
            </w:r>
          </w:p>
          <w:p w:rsidR="00E75510" w:rsidRPr="00E75510" w:rsidP="00E75510" w14:paraId="7A2108BD" w14:textId="77777777">
            <w:pPr>
              <w:pStyle w:val="Heading1"/>
              <w:spacing w:before="0" w:beforeAutospacing="0" w:after="0" w:afterAutospacing="0"/>
              <w:rPr>
                <w:rFonts w:asciiTheme="minorHAnsi" w:hAnsiTheme="minorHAnsi" w:cstheme="minorHAnsi"/>
                <w:sz w:val="24"/>
                <w:szCs w:val="24"/>
              </w:rPr>
            </w:pPr>
          </w:p>
        </w:tc>
      </w:tr>
    </w:tbl>
    <w:p w:rsidR="00E75510" w:rsidP="006B62C4" w14:paraId="57B01F00" w14:textId="77777777">
      <w:pPr>
        <w:spacing w:after="0"/>
      </w:pPr>
    </w:p>
    <w:tbl>
      <w:tblPr>
        <w:tblStyle w:val="TableGrid"/>
        <w:tblW w:w="0" w:type="auto"/>
        <w:tblInd w:w="-5" w:type="dxa"/>
        <w:tblLook w:val="04A0"/>
      </w:tblPr>
      <w:tblGrid>
        <w:gridCol w:w="4513"/>
        <w:gridCol w:w="4508"/>
      </w:tblGrid>
      <w:tr w14:paraId="688C25AB" w14:textId="77777777" w:rsidTr="002F1805">
        <w:tblPrEx>
          <w:tblW w:w="0" w:type="auto"/>
          <w:tblInd w:w="-5" w:type="dxa"/>
          <w:tblLook w:val="04A0"/>
        </w:tblPrEx>
        <w:tc>
          <w:tcPr>
            <w:tcW w:w="4513" w:type="dxa"/>
          </w:tcPr>
          <w:p w:rsidR="00E75510" w:rsidRPr="00E75510" w:rsidP="00E75510" w14:paraId="1AA225C2" w14:textId="77777777">
            <w:pPr>
              <w:pStyle w:val="Heading1"/>
              <w:spacing w:before="0" w:beforeAutospacing="0" w:after="0" w:afterAutospacing="0"/>
              <w:rPr>
                <w:rFonts w:asciiTheme="minorHAnsi" w:hAnsiTheme="minorHAnsi" w:cstheme="minorHAnsi"/>
                <w:b w:val="0"/>
                <w:bCs w:val="0"/>
                <w:color w:val="000000" w:themeColor="text1"/>
                <w:sz w:val="22"/>
                <w:szCs w:val="22"/>
              </w:rPr>
            </w:pPr>
            <w:r w:rsidRPr="00E75510">
              <w:rPr>
                <w:rFonts w:asciiTheme="minorHAnsi" w:hAnsiTheme="minorHAnsi" w:cstheme="minorHAnsi"/>
                <w:b w:val="0"/>
                <w:bCs w:val="0"/>
                <w:color w:val="000000" w:themeColor="text1"/>
                <w:sz w:val="22"/>
                <w:szCs w:val="22"/>
              </w:rPr>
              <w:t>Savings or expenditure amounting to greater than £100,000</w:t>
            </w:r>
          </w:p>
        </w:tc>
        <w:tc>
          <w:tcPr>
            <w:tcW w:w="4508" w:type="dxa"/>
          </w:tcPr>
          <w:p w:rsidR="00E75510" w:rsidRPr="00E75510" w:rsidP="00E75510" w14:paraId="598F4663" w14:textId="77777777">
            <w:pPr>
              <w:pStyle w:val="Heading1"/>
              <w:spacing w:before="0" w:beforeAutospacing="0" w:after="0" w:afterAutospacing="0"/>
              <w:rPr>
                <w:rFonts w:asciiTheme="minorHAnsi" w:hAnsiTheme="minorHAnsi" w:cstheme="minorHAnsi"/>
                <w:b w:val="0"/>
                <w:bCs w:val="0"/>
                <w:sz w:val="22"/>
                <w:szCs w:val="22"/>
              </w:rPr>
            </w:pPr>
            <w:r w:rsidRPr="00E75510">
              <w:rPr>
                <w:rFonts w:asciiTheme="minorHAnsi" w:hAnsiTheme="minorHAnsi" w:cstheme="minorHAnsi"/>
                <w:b w:val="0"/>
                <w:bCs w:val="0"/>
                <w:color w:val="000000" w:themeColor="text1"/>
                <w:sz w:val="22"/>
                <w:szCs w:val="22"/>
              </w:rPr>
              <w:t>Significant impact on 2 or more council wards</w:t>
            </w:r>
          </w:p>
        </w:tc>
      </w:tr>
    </w:tbl>
    <w:p w:rsidR="00E75510" w:rsidP="006B62C4" w14:paraId="638E0BED" w14:textId="77777777">
      <w:pPr>
        <w:spacing w:after="0"/>
      </w:pPr>
    </w:p>
    <w:p w:rsidR="00D1305C" w:rsidP="006B62C4" w14:paraId="5B6C7822" w14:textId="77777777">
      <w:pPr>
        <w:pStyle w:val="Heading2"/>
      </w:pPr>
      <w:r w:rsidRPr="007637E9">
        <w:t>Purpose of the Report</w:t>
      </w:r>
    </w:p>
    <w:p w:rsidR="003F64E2" w:rsidRPr="002F1805" w:rsidP="006B62C4" w14:paraId="6B49A5E9" w14:textId="77777777">
      <w:pPr>
        <w:spacing w:after="0"/>
      </w:pPr>
    </w:p>
    <w:p w:rsidR="003F64E2" w:rsidRPr="007637E9" w:rsidP="002F1805" w14:paraId="036EDBA0" w14:textId="77777777">
      <w:pPr>
        <w:pStyle w:val="Heading2"/>
        <w:rPr>
          <w:rFonts w:asciiTheme="majorHAnsi" w:hAnsiTheme="majorHAnsi" w:cstheme="majorHAnsi"/>
          <w:sz w:val="2"/>
          <w:szCs w:val="14"/>
        </w:rPr>
      </w:pPr>
    </w:p>
    <w:p w:rsidR="008C37E1" w:rsidP="008C37E1" w14:paraId="4EEC45E4" w14:textId="6A3F1675">
      <w:pPr>
        <w:numPr>
          <w:ilvl w:val="0"/>
          <w:numId w:val="8"/>
        </w:numPr>
        <w:spacing w:after="0" w:line="240" w:lineRule="auto"/>
        <w:ind w:left="567" w:hanging="567"/>
        <w:jc w:val="both"/>
        <w:rPr>
          <w:rFonts w:cstheme="minorHAnsi"/>
          <w:bCs/>
          <w:iCs/>
        </w:rPr>
      </w:pPr>
      <w:r w:rsidRPr="00B6683B">
        <w:rPr>
          <w:rFonts w:cstheme="minorHAnsi"/>
          <w:bCs/>
          <w:iCs/>
        </w:rPr>
        <w:t xml:space="preserve">Further to the approval of the </w:t>
      </w:r>
      <w:r w:rsidR="00CE1930">
        <w:rPr>
          <w:rFonts w:cstheme="minorHAnsi"/>
          <w:bCs/>
          <w:iCs/>
        </w:rPr>
        <w:t xml:space="preserve">Draft </w:t>
      </w:r>
      <w:r w:rsidRPr="00B6683B">
        <w:rPr>
          <w:rFonts w:cstheme="minorHAnsi"/>
          <w:bCs/>
          <w:iCs/>
        </w:rPr>
        <w:t>Statement of Accounts for 20</w:t>
      </w:r>
      <w:r w:rsidR="00CA1E1F">
        <w:rPr>
          <w:rFonts w:cstheme="minorHAnsi"/>
          <w:bCs/>
          <w:iCs/>
        </w:rPr>
        <w:t>22/23</w:t>
      </w:r>
      <w:r w:rsidRPr="00B6683B">
        <w:rPr>
          <w:rFonts w:cstheme="minorHAnsi"/>
          <w:bCs/>
          <w:iCs/>
        </w:rPr>
        <w:t xml:space="preserve"> at the Governance Committee meeting on 2</w:t>
      </w:r>
      <w:r w:rsidR="00CA1E1F">
        <w:rPr>
          <w:rFonts w:cstheme="minorHAnsi"/>
          <w:bCs/>
          <w:iCs/>
        </w:rPr>
        <w:t>8</w:t>
      </w:r>
      <w:r w:rsidRPr="00CA1E1F" w:rsidR="00CA1E1F">
        <w:rPr>
          <w:rFonts w:cstheme="minorHAnsi"/>
          <w:bCs/>
          <w:iCs/>
          <w:vertAlign w:val="superscript"/>
        </w:rPr>
        <w:t>th</w:t>
      </w:r>
      <w:r w:rsidRPr="00B6683B">
        <w:rPr>
          <w:rFonts w:cstheme="minorHAnsi"/>
          <w:bCs/>
          <w:iCs/>
        </w:rPr>
        <w:t xml:space="preserve"> November 202</w:t>
      </w:r>
      <w:r w:rsidR="00CA1E1F">
        <w:rPr>
          <w:rFonts w:cstheme="minorHAnsi"/>
          <w:bCs/>
          <w:iCs/>
        </w:rPr>
        <w:t>3</w:t>
      </w:r>
      <w:r w:rsidRPr="00B6683B">
        <w:rPr>
          <w:rFonts w:cstheme="minorHAnsi"/>
          <w:bCs/>
          <w:iCs/>
        </w:rPr>
        <w:t xml:space="preserve">, the purpose of the report is to update </w:t>
      </w:r>
      <w:r w:rsidR="004D317C">
        <w:rPr>
          <w:rFonts w:cstheme="minorHAnsi"/>
          <w:bCs/>
          <w:iCs/>
        </w:rPr>
        <w:t xml:space="preserve">Committee </w:t>
      </w:r>
      <w:r w:rsidRPr="00B6683B">
        <w:rPr>
          <w:rFonts w:cstheme="minorHAnsi"/>
          <w:bCs/>
          <w:iCs/>
        </w:rPr>
        <w:t xml:space="preserve">Members on </w:t>
      </w:r>
      <w:r w:rsidR="004D317C">
        <w:rPr>
          <w:rFonts w:cstheme="minorHAnsi"/>
          <w:bCs/>
          <w:iCs/>
        </w:rPr>
        <w:t xml:space="preserve">the </w:t>
      </w:r>
      <w:r w:rsidRPr="00B6683B">
        <w:rPr>
          <w:rFonts w:cstheme="minorHAnsi"/>
          <w:bCs/>
          <w:iCs/>
        </w:rPr>
        <w:t>adjustments made to the accounts since that date</w:t>
      </w:r>
      <w:r w:rsidR="004D317C">
        <w:rPr>
          <w:rFonts w:cstheme="minorHAnsi"/>
          <w:bCs/>
          <w:iCs/>
        </w:rPr>
        <w:t>,</w:t>
      </w:r>
      <w:r w:rsidRPr="00B6683B">
        <w:rPr>
          <w:rFonts w:cstheme="minorHAnsi"/>
          <w:bCs/>
          <w:iCs/>
        </w:rPr>
        <w:t xml:space="preserve"> following completion of the external audit by Grant Thornton.</w:t>
      </w:r>
    </w:p>
    <w:p w:rsidR="00B6683B" w:rsidRPr="00B6683B" w:rsidP="00B6683B" w14:paraId="59422194" w14:textId="77777777">
      <w:pPr>
        <w:spacing w:after="0" w:line="240" w:lineRule="auto"/>
        <w:ind w:left="567"/>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
        <w:gridCol w:w="8874"/>
        <w:gridCol w:w="142"/>
      </w:tblGrid>
      <w:tr w14:paraId="21BC102F" w14:textId="77777777" w:rsidTr="006B62C4">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2" w:type="dxa"/>
        </w:trPr>
        <w:tc>
          <w:tcPr>
            <w:tcW w:w="9016" w:type="dxa"/>
            <w:gridSpan w:val="2"/>
          </w:tcPr>
          <w:p w:rsidR="008C37E1" w:rsidP="006B62C4" w14:paraId="590F1E3B" w14:textId="77777777">
            <w:pPr>
              <w:pStyle w:val="Heading2"/>
            </w:pPr>
            <w:r w:rsidRPr="00A67766">
              <w:t>Recommendations</w:t>
            </w:r>
          </w:p>
          <w:p w:rsidR="008C37E1" w:rsidP="006B62C4" w14:paraId="340793C1" w14:textId="77777777"/>
        </w:tc>
      </w:tr>
      <w:tr w14:paraId="24312670" w14:textId="77777777" w:rsidTr="006B62C4">
        <w:tblPrEx>
          <w:tblW w:w="0" w:type="auto"/>
          <w:tblInd w:w="-142" w:type="dxa"/>
          <w:tblLook w:val="04A0"/>
        </w:tblPrEx>
        <w:trPr>
          <w:gridBefore w:val="1"/>
          <w:wBefore w:w="142" w:type="dxa"/>
        </w:trPr>
        <w:tc>
          <w:tcPr>
            <w:tcW w:w="9016" w:type="dxa"/>
            <w:gridSpan w:val="2"/>
          </w:tcPr>
          <w:p w:rsidR="00E10BF8" w:rsidRPr="00E10BF8" w:rsidP="000467AD" w14:paraId="46C58FF9" w14:textId="72A7FAF3">
            <w:pPr>
              <w:numPr>
                <w:ilvl w:val="0"/>
                <w:numId w:val="9"/>
              </w:numPr>
              <w:ind w:left="459" w:hanging="567"/>
              <w:jc w:val="both"/>
              <w:rPr>
                <w:rFonts w:cstheme="minorHAnsi"/>
                <w:bCs/>
                <w:iCs/>
              </w:rPr>
            </w:pPr>
            <w:r>
              <w:rPr>
                <w:rFonts w:cstheme="minorHAnsi"/>
                <w:bCs/>
                <w:iCs/>
              </w:rPr>
              <w:t xml:space="preserve">Further to the approval of the </w:t>
            </w:r>
            <w:r w:rsidR="00CE1930">
              <w:rPr>
                <w:rFonts w:cstheme="minorHAnsi"/>
                <w:bCs/>
                <w:iCs/>
              </w:rPr>
              <w:t xml:space="preserve">Draft </w:t>
            </w:r>
            <w:r>
              <w:rPr>
                <w:rFonts w:cstheme="minorHAnsi"/>
                <w:bCs/>
                <w:iCs/>
              </w:rPr>
              <w:t>202</w:t>
            </w:r>
            <w:r w:rsidR="00CA1E1F">
              <w:rPr>
                <w:rFonts w:cstheme="minorHAnsi"/>
                <w:bCs/>
                <w:iCs/>
              </w:rPr>
              <w:t>2/23</w:t>
            </w:r>
            <w:r>
              <w:rPr>
                <w:rFonts w:cstheme="minorHAnsi"/>
                <w:bCs/>
                <w:iCs/>
              </w:rPr>
              <w:t xml:space="preserve"> Statement of Accounts at the </w:t>
            </w:r>
            <w:r w:rsidR="00B6683B">
              <w:rPr>
                <w:rFonts w:cstheme="minorHAnsi"/>
                <w:bCs/>
                <w:iCs/>
              </w:rPr>
              <w:t xml:space="preserve">Governance Committee </w:t>
            </w:r>
            <w:r>
              <w:rPr>
                <w:rFonts w:cstheme="minorHAnsi"/>
                <w:bCs/>
                <w:iCs/>
              </w:rPr>
              <w:t>on 2</w:t>
            </w:r>
            <w:r w:rsidR="00CA1E1F">
              <w:rPr>
                <w:rFonts w:cstheme="minorHAnsi"/>
                <w:bCs/>
                <w:iCs/>
              </w:rPr>
              <w:t>8</w:t>
            </w:r>
            <w:r w:rsidRPr="00CA1E1F" w:rsidR="00CA1E1F">
              <w:rPr>
                <w:rFonts w:cstheme="minorHAnsi"/>
                <w:bCs/>
                <w:iCs/>
                <w:vertAlign w:val="superscript"/>
              </w:rPr>
              <w:t>th</w:t>
            </w:r>
            <w:r>
              <w:rPr>
                <w:rFonts w:cstheme="minorHAnsi"/>
                <w:bCs/>
                <w:iCs/>
              </w:rPr>
              <w:t xml:space="preserve"> November 202</w:t>
            </w:r>
            <w:r w:rsidR="00CA1E1F">
              <w:rPr>
                <w:rFonts w:cstheme="minorHAnsi"/>
                <w:bCs/>
                <w:iCs/>
              </w:rPr>
              <w:t>3</w:t>
            </w:r>
            <w:r>
              <w:rPr>
                <w:rFonts w:cstheme="minorHAnsi"/>
                <w:bCs/>
                <w:iCs/>
              </w:rPr>
              <w:t xml:space="preserve">, </w:t>
            </w:r>
            <w:r w:rsidR="00672DCA">
              <w:rPr>
                <w:rFonts w:cstheme="minorHAnsi"/>
                <w:bCs/>
                <w:iCs/>
              </w:rPr>
              <w:t xml:space="preserve">the Committee is </w:t>
            </w:r>
            <w:r w:rsidR="00B6683B">
              <w:rPr>
                <w:rFonts w:cstheme="minorHAnsi"/>
                <w:bCs/>
                <w:iCs/>
              </w:rPr>
              <w:t xml:space="preserve">asked to </w:t>
            </w:r>
            <w:r>
              <w:t xml:space="preserve">approve the statements which have been amended </w:t>
            </w:r>
            <w:r w:rsidR="00672DCA">
              <w:t xml:space="preserve">during the completion of the external audit </w:t>
            </w:r>
            <w:r>
              <w:t xml:space="preserve">to include the adjustments detailed </w:t>
            </w:r>
            <w:r w:rsidR="00672DCA">
              <w:t>in point 1</w:t>
            </w:r>
            <w:r w:rsidR="00CE1930">
              <w:t>2</w:t>
            </w:r>
            <w:r w:rsidR="00672DCA">
              <w:t xml:space="preserve"> </w:t>
            </w:r>
            <w:r>
              <w:t>below.</w:t>
            </w:r>
          </w:p>
        </w:tc>
      </w:tr>
      <w:tr w14:paraId="68482034" w14:textId="77777777" w:rsidTr="006B62C4">
        <w:tblPrEx>
          <w:tblW w:w="0" w:type="auto"/>
          <w:tblInd w:w="-142" w:type="dxa"/>
          <w:tblLook w:val="04A0"/>
        </w:tblPrEx>
        <w:trPr>
          <w:gridBefore w:val="1"/>
          <w:wBefore w:w="142" w:type="dxa"/>
        </w:trPr>
        <w:tc>
          <w:tcPr>
            <w:tcW w:w="9016" w:type="dxa"/>
            <w:gridSpan w:val="2"/>
          </w:tcPr>
          <w:p w:rsidR="00E963B8" w:rsidRPr="00E811D7" w:rsidP="00E963B8" w14:paraId="0C9C6E82" w14:textId="77777777">
            <w:pPr>
              <w:rPr>
                <w:rFonts w:cstheme="minorHAnsi"/>
                <w:bCs/>
                <w:iCs/>
              </w:rPr>
            </w:pPr>
          </w:p>
        </w:tc>
      </w:tr>
      <w:tr w14:paraId="26BBC6F4" w14:textId="77777777" w:rsidTr="00E709F7">
        <w:tblPrEx>
          <w:tblW w:w="0" w:type="auto"/>
          <w:tblInd w:w="-142" w:type="dxa"/>
          <w:tblLook w:val="04A0"/>
        </w:tblPrEx>
        <w:trPr>
          <w:gridAfter w:val="1"/>
          <w:wAfter w:w="142" w:type="dxa"/>
        </w:trPr>
        <w:tc>
          <w:tcPr>
            <w:tcW w:w="9016" w:type="dxa"/>
            <w:gridSpan w:val="2"/>
          </w:tcPr>
          <w:p w:rsidR="00E10BF8" w:rsidP="00E709F7" w14:paraId="320866D3" w14:textId="77777777">
            <w:pPr>
              <w:pStyle w:val="Heading2"/>
            </w:pPr>
            <w:r w:rsidRPr="00613EC1">
              <w:t>Reasons for recommendations</w:t>
            </w:r>
          </w:p>
          <w:p w:rsidR="00E10BF8" w:rsidP="00E709F7" w14:paraId="075D70C4" w14:textId="77777777"/>
        </w:tc>
      </w:tr>
      <w:tr w14:paraId="418234C9" w14:textId="77777777" w:rsidTr="00E709F7">
        <w:tblPrEx>
          <w:tblW w:w="0" w:type="auto"/>
          <w:tblInd w:w="-142" w:type="dxa"/>
          <w:tblLook w:val="04A0"/>
        </w:tblPrEx>
        <w:trPr>
          <w:gridBefore w:val="1"/>
          <w:wBefore w:w="142" w:type="dxa"/>
        </w:trPr>
        <w:tc>
          <w:tcPr>
            <w:tcW w:w="9016" w:type="dxa"/>
            <w:gridSpan w:val="2"/>
          </w:tcPr>
          <w:p w:rsidR="00E93B5C" w:rsidRPr="000467AD" w:rsidP="00E93B5C" w14:paraId="0CCC3784" w14:textId="2FC88D83">
            <w:pPr>
              <w:pStyle w:val="ListParagraph"/>
              <w:numPr>
                <w:ilvl w:val="0"/>
                <w:numId w:val="9"/>
              </w:numPr>
              <w:spacing w:after="0" w:line="240" w:lineRule="auto"/>
              <w:ind w:left="602" w:hanging="709"/>
              <w:jc w:val="both"/>
              <w:rPr>
                <w:rFonts w:cstheme="minorHAnsi"/>
                <w:bCs/>
                <w:iCs/>
              </w:rPr>
            </w:pPr>
            <w:r>
              <w:rPr>
                <w:rFonts w:cstheme="minorHAnsi"/>
                <w:bCs/>
                <w:iCs/>
              </w:rPr>
              <w:t xml:space="preserve">At the November Governance Committee meeting, </w:t>
            </w:r>
            <w:r w:rsidR="00672DCA">
              <w:rPr>
                <w:rFonts w:cstheme="minorHAnsi"/>
                <w:bCs/>
                <w:iCs/>
              </w:rPr>
              <w:t>the Committee</w:t>
            </w:r>
            <w:r>
              <w:rPr>
                <w:rFonts w:cstheme="minorHAnsi"/>
                <w:bCs/>
                <w:iCs/>
              </w:rPr>
              <w:t xml:space="preserve"> approved the 202</w:t>
            </w:r>
            <w:r w:rsidR="00CA1E1F">
              <w:rPr>
                <w:rFonts w:cstheme="minorHAnsi"/>
                <w:bCs/>
                <w:iCs/>
              </w:rPr>
              <w:t>2</w:t>
            </w:r>
            <w:r>
              <w:rPr>
                <w:rFonts w:cstheme="minorHAnsi"/>
                <w:bCs/>
                <w:iCs/>
              </w:rPr>
              <w:t>/2</w:t>
            </w:r>
            <w:r w:rsidR="00CA1E1F">
              <w:rPr>
                <w:rFonts w:cstheme="minorHAnsi"/>
                <w:bCs/>
                <w:iCs/>
              </w:rPr>
              <w:t>3</w:t>
            </w:r>
            <w:r>
              <w:rPr>
                <w:rFonts w:cstheme="minorHAnsi"/>
                <w:bCs/>
                <w:iCs/>
              </w:rPr>
              <w:t xml:space="preserve"> Statement of Account</w:t>
            </w:r>
            <w:r w:rsidR="00CA1E1F">
              <w:rPr>
                <w:rFonts w:cstheme="minorHAnsi"/>
                <w:bCs/>
                <w:iCs/>
              </w:rPr>
              <w:t>s</w:t>
            </w:r>
            <w:r>
              <w:rPr>
                <w:rFonts w:cstheme="minorHAnsi"/>
                <w:bCs/>
                <w:iCs/>
              </w:rPr>
              <w:t xml:space="preserve">, subject to </w:t>
            </w:r>
            <w:r>
              <w:t xml:space="preserve">any amendments which, in the opinion of the Director of Finance (Section 151 Officer), </w:t>
            </w:r>
            <w:r w:rsidR="00CE1930">
              <w:t>were</w:t>
            </w:r>
            <w:r>
              <w:t xml:space="preserve"> minor in nature.</w:t>
            </w:r>
          </w:p>
          <w:p w:rsidR="000467AD" w:rsidRPr="00E93B5C" w:rsidP="000467AD" w14:paraId="117A7143" w14:textId="77777777">
            <w:pPr>
              <w:pStyle w:val="ListParagraph"/>
              <w:spacing w:after="0" w:line="240" w:lineRule="auto"/>
              <w:ind w:left="602"/>
              <w:jc w:val="both"/>
              <w:rPr>
                <w:rFonts w:cstheme="minorHAnsi"/>
                <w:bCs/>
                <w:iCs/>
              </w:rPr>
            </w:pPr>
          </w:p>
          <w:p w:rsidR="00E93B5C" w:rsidRPr="00E963B8" w:rsidP="00E93B5C" w14:paraId="2157D48F" w14:textId="3998E6BA">
            <w:pPr>
              <w:pStyle w:val="ListParagraph"/>
              <w:numPr>
                <w:ilvl w:val="0"/>
                <w:numId w:val="9"/>
              </w:numPr>
              <w:spacing w:after="0" w:line="240" w:lineRule="auto"/>
              <w:ind w:left="602" w:hanging="709"/>
              <w:jc w:val="both"/>
              <w:rPr>
                <w:rFonts w:cstheme="minorHAnsi"/>
                <w:bCs/>
                <w:iCs/>
              </w:rPr>
            </w:pPr>
            <w:r>
              <w:t xml:space="preserve">Delegated authority was given to the Director of Finance, in consultation with the Chair of Governance Committee, to make such minor amendments, however if in the opinion of the Director of Finance any such amendments </w:t>
            </w:r>
            <w:r w:rsidR="00672DCA">
              <w:t>were found to be</w:t>
            </w:r>
            <w:r>
              <w:t xml:space="preserve"> material to the financial position of the council, then Governance Committee would be asked to approve the updated Statement of Accounts</w:t>
            </w:r>
            <w:r w:rsidR="00CA1E1F">
              <w:t>.</w:t>
            </w:r>
          </w:p>
        </w:tc>
      </w:tr>
    </w:tbl>
    <w:p w:rsidR="004A7EEA" w:rsidP="008C37E1" w14:paraId="3B2FDDC2" w14:textId="6856AA0B">
      <w:pPr>
        <w:spacing w:after="0" w:line="240" w:lineRule="auto"/>
        <w:jc w:val="both"/>
        <w:rPr>
          <w:rFonts w:cstheme="minorHAnsi"/>
          <w:bCs/>
          <w:iCs/>
        </w:rPr>
      </w:pPr>
    </w:p>
    <w:p w:rsidR="004A7EEA" w14:paraId="5FC65251" w14:textId="77777777">
      <w:pPr>
        <w:rPr>
          <w:rFonts w:cstheme="minorHAnsi"/>
          <w:bCs/>
          <w:iCs/>
        </w:rPr>
      </w:pPr>
      <w:r>
        <w:rPr>
          <w:rFonts w:cstheme="minorHAnsi"/>
          <w:bCs/>
          <w:iCs/>
        </w:rPr>
        <w:br w:type="page"/>
      </w:r>
    </w:p>
    <w:p w:rsidR="00E10BF8" w:rsidP="008C37E1" w14:paraId="74A7E705" w14:textId="77777777">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
        <w:gridCol w:w="8874"/>
        <w:gridCol w:w="142"/>
      </w:tblGrid>
      <w:tr w14:paraId="63902E54" w14:textId="77777777" w:rsidTr="002F4B61">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42" w:type="dxa"/>
        </w:trPr>
        <w:tc>
          <w:tcPr>
            <w:tcW w:w="9016" w:type="dxa"/>
            <w:gridSpan w:val="2"/>
          </w:tcPr>
          <w:p w:rsidR="00E10BF8" w:rsidP="002F4B61" w14:paraId="365B340B" w14:textId="77777777">
            <w:pPr>
              <w:pStyle w:val="Heading2"/>
            </w:pPr>
            <w:r w:rsidRPr="00613EC1">
              <w:t>Other options considered and rejected</w:t>
            </w:r>
          </w:p>
          <w:p w:rsidR="00E10BF8" w:rsidP="002F4B61" w14:paraId="63E8584B" w14:textId="77777777"/>
        </w:tc>
      </w:tr>
      <w:tr w14:paraId="2D301F8E" w14:textId="77777777" w:rsidTr="002F4B61">
        <w:tblPrEx>
          <w:tblW w:w="0" w:type="auto"/>
          <w:tblInd w:w="-142" w:type="dxa"/>
          <w:tblLook w:val="04A0"/>
        </w:tblPrEx>
        <w:trPr>
          <w:gridBefore w:val="1"/>
          <w:wBefore w:w="142" w:type="dxa"/>
        </w:trPr>
        <w:tc>
          <w:tcPr>
            <w:tcW w:w="9016" w:type="dxa"/>
            <w:gridSpan w:val="2"/>
          </w:tcPr>
          <w:p w:rsidR="00E10BF8" w:rsidRPr="00E10BF8" w:rsidP="00F11DDB" w14:paraId="2D4E3ABD" w14:textId="28BEF745">
            <w:pPr>
              <w:numPr>
                <w:ilvl w:val="0"/>
                <w:numId w:val="10"/>
              </w:numPr>
              <w:ind w:hanging="717"/>
              <w:jc w:val="both"/>
              <w:rPr>
                <w:rFonts w:cstheme="minorHAnsi"/>
                <w:bCs/>
                <w:iCs/>
              </w:rPr>
            </w:pPr>
            <w:r w:rsidRPr="00E811D7">
              <w:rPr>
                <w:rFonts w:cstheme="minorHAnsi"/>
                <w:bCs/>
                <w:iCs/>
              </w:rPr>
              <w:t>T</w:t>
            </w:r>
            <w:r w:rsidR="000467AD">
              <w:rPr>
                <w:rFonts w:cstheme="minorHAnsi"/>
                <w:bCs/>
                <w:iCs/>
              </w:rPr>
              <w:t>he</w:t>
            </w:r>
            <w:r w:rsidRPr="00E811D7">
              <w:rPr>
                <w:rFonts w:cstheme="minorHAnsi"/>
                <w:bCs/>
                <w:iCs/>
              </w:rPr>
              <w:t xml:space="preserve"> </w:t>
            </w:r>
            <w:r w:rsidR="000467AD">
              <w:t>Statement of Accounts are prepared in the form to meet professional accounting standards and to comply with statutory regulations. There are therefore no alternative options that can be adopted. The report complies with the recommendations approved by Governance Committee in November 202</w:t>
            </w:r>
            <w:r w:rsidR="00CA1E1F">
              <w:t>3</w:t>
            </w:r>
            <w:r w:rsidR="000467AD">
              <w:t>.</w:t>
            </w:r>
          </w:p>
        </w:tc>
      </w:tr>
    </w:tbl>
    <w:p w:rsidR="00CA1E1F" w:rsidP="002F4B61" w14:paraId="3AEA654A" w14:textId="77777777">
      <w:pPr>
        <w:pStyle w:val="Heading2"/>
      </w:pPr>
    </w:p>
    <w:p w:rsidR="00D1305C" w:rsidRPr="008C37E1" w:rsidP="002F4B61" w14:paraId="2A375B96" w14:textId="39D852B9">
      <w:pPr>
        <w:pStyle w:val="Heading2"/>
      </w:pPr>
      <w:r w:rsidRPr="008C37E1">
        <w:t xml:space="preserve">Corporate </w:t>
      </w:r>
      <w:r w:rsidRPr="008C37E1" w:rsidR="003E3722">
        <w:t>priorities</w:t>
      </w:r>
    </w:p>
    <w:p w:rsidR="002F1805" w:rsidRPr="002F1805" w:rsidP="002F4B61" w14:paraId="28C14A88" w14:textId="77777777">
      <w:pPr>
        <w:spacing w:after="0"/>
      </w:pPr>
    </w:p>
    <w:p w:rsidR="00D1305C" w:rsidRPr="000467AD" w:rsidP="00F11DDB" w14:paraId="1A55105C" w14:textId="77777777">
      <w:pPr>
        <w:numPr>
          <w:ilvl w:val="0"/>
          <w:numId w:val="11"/>
        </w:numPr>
        <w:spacing w:after="0" w:line="240" w:lineRule="auto"/>
        <w:ind w:hanging="786"/>
        <w:jc w:val="both"/>
        <w:rPr>
          <w:rFonts w:cstheme="minorHAnsi"/>
          <w:bCs/>
          <w:iCs/>
        </w:rPr>
      </w:pPr>
      <w:r w:rsidRPr="000467AD">
        <w:rPr>
          <w:rFonts w:cstheme="minorHAnsi"/>
          <w:bCs/>
        </w:rPr>
        <w:t xml:space="preserve">The report relates to the following corporate priorities: </w:t>
      </w:r>
    </w:p>
    <w:p w:rsidR="000467AD" w:rsidRPr="000467AD" w:rsidP="000467AD" w14:paraId="4C6161CD" w14:textId="77777777">
      <w:pPr>
        <w:spacing w:after="0" w:line="240" w:lineRule="auto"/>
        <w:ind w:left="567"/>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7"/>
        <w:gridCol w:w="4678"/>
      </w:tblGrid>
      <w:tr w14:paraId="19E4D4AB" w14:textId="77777777" w:rsidTr="009A018E">
        <w:tblPrEx>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707" w:type="dxa"/>
          </w:tcPr>
          <w:p w:rsidR="008F13BA" w:rsidRPr="000467AD" w:rsidP="00804F02" w14:paraId="4EF1E125" w14:textId="77777777">
            <w:pPr>
              <w:tabs>
                <w:tab w:val="left" w:pos="567"/>
              </w:tabs>
              <w:jc w:val="center"/>
              <w:rPr>
                <w:b/>
                <w:bCs/>
              </w:rPr>
            </w:pPr>
            <w:r w:rsidRPr="000467AD">
              <w:rPr>
                <w:rFonts w:ascii="Arial" w:hAnsi="Arial" w:cs="Arial"/>
                <w:b/>
                <w:bCs/>
              </w:rPr>
              <w:t>An exemplary council</w:t>
            </w:r>
          </w:p>
        </w:tc>
        <w:tc>
          <w:tcPr>
            <w:tcW w:w="4678" w:type="dxa"/>
          </w:tcPr>
          <w:p w:rsidR="008F13BA" w:rsidRPr="00CA1E1F" w:rsidP="00804F02" w14:paraId="305722F5" w14:textId="77777777">
            <w:pPr>
              <w:tabs>
                <w:tab w:val="left" w:pos="567"/>
              </w:tabs>
              <w:jc w:val="center"/>
              <w:rPr>
                <w:b/>
                <w:bCs/>
              </w:rPr>
            </w:pPr>
            <w:r w:rsidRPr="00CA1E1F">
              <w:rPr>
                <w:rFonts w:ascii="Arial" w:hAnsi="Arial" w:cs="Arial"/>
                <w:b/>
                <w:bCs/>
              </w:rPr>
              <w:t>Thriving communities</w:t>
            </w:r>
          </w:p>
        </w:tc>
      </w:tr>
      <w:tr w14:paraId="0EE9D5E1" w14:textId="77777777" w:rsidTr="009A018E">
        <w:tblPrEx>
          <w:tblW w:w="9385" w:type="dxa"/>
          <w:tblInd w:w="-34" w:type="dxa"/>
          <w:tblLayout w:type="fixed"/>
          <w:tblLook w:val="0000"/>
        </w:tblPrEx>
        <w:tc>
          <w:tcPr>
            <w:tcW w:w="4707" w:type="dxa"/>
          </w:tcPr>
          <w:p w:rsidR="008F13BA" w:rsidRPr="00CA1E1F" w:rsidP="009A018E" w14:paraId="7ABF586B" w14:textId="77777777">
            <w:pPr>
              <w:tabs>
                <w:tab w:val="left" w:pos="567"/>
              </w:tabs>
              <w:spacing w:after="0"/>
              <w:jc w:val="center"/>
              <w:rPr>
                <w:b/>
                <w:bCs/>
              </w:rPr>
            </w:pPr>
            <w:r w:rsidRPr="00CA1E1F">
              <w:rPr>
                <w:rFonts w:ascii="Arial" w:hAnsi="Arial" w:cs="Arial"/>
                <w:b/>
                <w:bCs/>
              </w:rPr>
              <w:t>A fair local economy that works for everyone</w:t>
            </w:r>
          </w:p>
        </w:tc>
        <w:tc>
          <w:tcPr>
            <w:tcW w:w="4678" w:type="dxa"/>
          </w:tcPr>
          <w:p w:rsidR="008F13BA" w:rsidRPr="00CA1E1F" w:rsidP="00804F02" w14:paraId="19AFF8D5" w14:textId="77777777">
            <w:pPr>
              <w:autoSpaceDE w:val="0"/>
              <w:autoSpaceDN w:val="0"/>
              <w:adjustRightInd w:val="0"/>
              <w:spacing w:after="0"/>
              <w:jc w:val="center"/>
              <w:rPr>
                <w:b/>
                <w:bCs/>
              </w:rPr>
            </w:pPr>
            <w:r w:rsidRPr="00CA1E1F">
              <w:rPr>
                <w:rFonts w:ascii="Arial" w:hAnsi="Arial" w:cs="Arial"/>
                <w:b/>
                <w:bCs/>
              </w:rPr>
              <w:t>Good homes, green spaces, healthy places</w:t>
            </w:r>
          </w:p>
        </w:tc>
      </w:tr>
    </w:tbl>
    <w:p w:rsidR="00D1305C" w:rsidRPr="00D4431F" w:rsidP="002F1805" w14:paraId="3BBECBB1" w14:textId="77777777">
      <w:pPr>
        <w:spacing w:after="0" w:line="240" w:lineRule="auto"/>
        <w:jc w:val="both"/>
        <w:rPr>
          <w:rFonts w:cstheme="minorHAnsi"/>
          <w:bCs/>
        </w:rPr>
      </w:pPr>
    </w:p>
    <w:p w:rsidR="00D1305C" w:rsidRPr="008C37E1" w:rsidP="002F4B61" w14:paraId="21990C8F" w14:textId="77777777">
      <w:pPr>
        <w:pStyle w:val="Heading2"/>
      </w:pPr>
      <w:r w:rsidRPr="008C37E1">
        <w:t>Background to the report</w:t>
      </w:r>
    </w:p>
    <w:p w:rsidR="002F1805" w:rsidRPr="002F1805" w:rsidP="002F4B61" w14:paraId="078399D4" w14:textId="77777777">
      <w:pPr>
        <w:spacing w:after="0"/>
      </w:pPr>
    </w:p>
    <w:p w:rsidR="00CA1E1F" w:rsidRPr="00CA1E1F" w:rsidP="00E10BF8" w14:paraId="3E56C5C2" w14:textId="77777777">
      <w:pPr>
        <w:numPr>
          <w:ilvl w:val="0"/>
          <w:numId w:val="11"/>
        </w:numPr>
        <w:spacing w:after="0" w:line="240" w:lineRule="auto"/>
        <w:ind w:left="567" w:hanging="567"/>
        <w:jc w:val="both"/>
        <w:rPr>
          <w:rFonts w:cstheme="minorHAnsi"/>
          <w:bCs/>
          <w:iCs/>
        </w:rPr>
      </w:pPr>
      <w:r>
        <w:t xml:space="preserve">Once the external audit has been completed, the Regulations specify that the responsible Financial Officer must reconfirm on behalf of the authority that they are satisfied that the Statement of Accounts present a true and fair view of the financial position of the authority at the year end, and the income and expenditure for the year. </w:t>
      </w:r>
    </w:p>
    <w:p w:rsidR="00CA1E1F" w:rsidRPr="00CA1E1F" w:rsidP="00CA1E1F" w14:paraId="3020F043" w14:textId="77777777">
      <w:pPr>
        <w:spacing w:after="0" w:line="240" w:lineRule="auto"/>
        <w:ind w:left="567"/>
        <w:jc w:val="both"/>
        <w:rPr>
          <w:rFonts w:cstheme="minorHAnsi"/>
          <w:bCs/>
          <w:iCs/>
        </w:rPr>
      </w:pPr>
    </w:p>
    <w:p w:rsidR="00351641" w:rsidRPr="00351641" w:rsidP="00E10BF8" w14:paraId="5EB0FF41" w14:textId="21ED8556">
      <w:pPr>
        <w:numPr>
          <w:ilvl w:val="0"/>
          <w:numId w:val="11"/>
        </w:numPr>
        <w:spacing w:after="0" w:line="240" w:lineRule="auto"/>
        <w:ind w:left="567" w:hanging="567"/>
        <w:jc w:val="both"/>
        <w:rPr>
          <w:rFonts w:cstheme="minorHAnsi"/>
          <w:bCs/>
          <w:iCs/>
        </w:rPr>
      </w:pPr>
      <w:r>
        <w:t xml:space="preserve">The council is then required to: </w:t>
      </w:r>
    </w:p>
    <w:p w:rsidR="00351641" w:rsidRPr="00351641" w:rsidP="00351641" w14:paraId="473D4504" w14:textId="3157E9DB">
      <w:pPr>
        <w:numPr>
          <w:ilvl w:val="0"/>
          <w:numId w:val="15"/>
        </w:numPr>
        <w:spacing w:after="0" w:line="240" w:lineRule="auto"/>
        <w:jc w:val="both"/>
        <w:rPr>
          <w:rFonts w:cstheme="minorHAnsi"/>
          <w:bCs/>
          <w:iCs/>
        </w:rPr>
      </w:pPr>
      <w:r>
        <w:t xml:space="preserve">consider, either by way of a </w:t>
      </w:r>
      <w:r w:rsidR="00CA1E1F">
        <w:t>C</w:t>
      </w:r>
      <w:r>
        <w:t xml:space="preserve">ommittee, or by the </w:t>
      </w:r>
      <w:r w:rsidR="00CA1E1F">
        <w:t>M</w:t>
      </w:r>
      <w:r>
        <w:t xml:space="preserve">embers meeting as a whole, the </w:t>
      </w:r>
      <w:r w:rsidR="00CA1E1F">
        <w:t>S</w:t>
      </w:r>
      <w:r>
        <w:t xml:space="preserve">tatement of </w:t>
      </w:r>
      <w:r w:rsidR="00CA1E1F">
        <w:t>A</w:t>
      </w:r>
      <w:r>
        <w:t xml:space="preserve">ccounts; </w:t>
      </w:r>
    </w:p>
    <w:p w:rsidR="00D1305C" w:rsidRPr="00351641" w:rsidP="00351641" w14:paraId="148D9395" w14:textId="27B8E95A">
      <w:pPr>
        <w:numPr>
          <w:ilvl w:val="0"/>
          <w:numId w:val="15"/>
        </w:numPr>
        <w:spacing w:after="0" w:line="240" w:lineRule="auto"/>
        <w:jc w:val="both"/>
        <w:rPr>
          <w:rFonts w:cstheme="minorHAnsi"/>
          <w:bCs/>
          <w:iCs/>
        </w:rPr>
      </w:pPr>
      <w:r>
        <w:t xml:space="preserve">approve the </w:t>
      </w:r>
      <w:r w:rsidR="00CA1E1F">
        <w:t>S</w:t>
      </w:r>
      <w:r>
        <w:t xml:space="preserve">tatement of </w:t>
      </w:r>
      <w:r w:rsidR="00CA1E1F">
        <w:t>A</w:t>
      </w:r>
      <w:r>
        <w:t xml:space="preserve">ccounts by a resolution of that </w:t>
      </w:r>
      <w:r w:rsidR="00CA1E1F">
        <w:t>C</w:t>
      </w:r>
      <w:r>
        <w:t>ommittee or meeting</w:t>
      </w:r>
      <w:r w:rsidR="00CA1E1F">
        <w:t>.</w:t>
      </w:r>
    </w:p>
    <w:p w:rsidR="00351641" w:rsidRPr="00351641" w:rsidP="00351641" w14:paraId="1663688A" w14:textId="77777777">
      <w:pPr>
        <w:spacing w:after="0" w:line="240" w:lineRule="auto"/>
        <w:ind w:left="567"/>
        <w:jc w:val="both"/>
        <w:rPr>
          <w:rFonts w:cstheme="minorHAnsi"/>
          <w:bCs/>
          <w:iCs/>
        </w:rPr>
      </w:pPr>
    </w:p>
    <w:p w:rsidR="00351641" w:rsidRPr="00351641" w:rsidP="002F1805" w14:paraId="7EAE2C74" w14:textId="77777777">
      <w:pPr>
        <w:numPr>
          <w:ilvl w:val="0"/>
          <w:numId w:val="11"/>
        </w:numPr>
        <w:spacing w:after="0" w:line="240" w:lineRule="auto"/>
        <w:ind w:left="567" w:hanging="567"/>
        <w:jc w:val="both"/>
        <w:rPr>
          <w:rFonts w:cstheme="minorHAnsi"/>
          <w:bCs/>
          <w:iCs/>
        </w:rPr>
      </w:pPr>
      <w:r>
        <w:t>South Ribble Borough Council delegates the responsibility for the approval of the accounts to the Governance Committee.</w:t>
      </w:r>
    </w:p>
    <w:p w:rsidR="00351641" w:rsidRPr="00351641" w:rsidP="00351641" w14:paraId="7AEC526D" w14:textId="77777777">
      <w:pPr>
        <w:spacing w:after="0" w:line="240" w:lineRule="auto"/>
        <w:ind w:left="567"/>
        <w:jc w:val="both"/>
        <w:rPr>
          <w:rFonts w:cstheme="minorHAnsi"/>
          <w:bCs/>
          <w:iCs/>
        </w:rPr>
      </w:pPr>
    </w:p>
    <w:p w:rsidR="00351641" w:rsidRPr="00351641" w:rsidP="002F1805" w14:paraId="57231C34" w14:textId="7E50A6E4">
      <w:pPr>
        <w:numPr>
          <w:ilvl w:val="0"/>
          <w:numId w:val="11"/>
        </w:numPr>
        <w:spacing w:after="0" w:line="240" w:lineRule="auto"/>
        <w:ind w:left="567" w:hanging="567"/>
        <w:jc w:val="both"/>
        <w:rPr>
          <w:rFonts w:cstheme="minorHAnsi"/>
          <w:bCs/>
          <w:iCs/>
        </w:rPr>
      </w:pPr>
      <w:r>
        <w:t xml:space="preserve">The Governance Committee approved the </w:t>
      </w:r>
      <w:r w:rsidR="00CE1930">
        <w:t xml:space="preserve">Draft </w:t>
      </w:r>
      <w:r>
        <w:t>202</w:t>
      </w:r>
      <w:r w:rsidR="00CA1E1F">
        <w:t>2/23</w:t>
      </w:r>
      <w:r>
        <w:t xml:space="preserve"> Statement of Accounts at their meeting on 2</w:t>
      </w:r>
      <w:r w:rsidR="00CA1E1F">
        <w:t>8</w:t>
      </w:r>
      <w:r w:rsidRPr="00CA1E1F" w:rsidR="00CA1E1F">
        <w:rPr>
          <w:vertAlign w:val="superscript"/>
        </w:rPr>
        <w:t>th</w:t>
      </w:r>
      <w:r>
        <w:t xml:space="preserve"> November</w:t>
      </w:r>
      <w:r w:rsidR="00CA1E1F">
        <w:t xml:space="preserve"> 2023</w:t>
      </w:r>
      <w:r w:rsidR="00CE1930">
        <w:t>,</w:t>
      </w:r>
      <w:r>
        <w:t xml:space="preserve"> subject to any amend</w:t>
      </w:r>
      <w:r w:rsidR="00CA1E1F">
        <w:t>me</w:t>
      </w:r>
      <w:r>
        <w:t>nts</w:t>
      </w:r>
      <w:r w:rsidR="00CA1E1F">
        <w:t xml:space="preserve"> </w:t>
      </w:r>
      <w:r w:rsidR="00CE1930">
        <w:t xml:space="preserve">identified in the </w:t>
      </w:r>
      <w:r w:rsidR="00CA1E1F">
        <w:t>completion of the external audit</w:t>
      </w:r>
      <w:r>
        <w:t xml:space="preserve"> which</w:t>
      </w:r>
      <w:r w:rsidR="00CA1E1F">
        <w:t>, if</w:t>
      </w:r>
      <w:r>
        <w:t xml:space="preserve"> in the opinion o</w:t>
      </w:r>
      <w:r w:rsidR="00B34E61">
        <w:t>f</w:t>
      </w:r>
      <w:r>
        <w:t xml:space="preserve"> the Director of Finance </w:t>
      </w:r>
      <w:r w:rsidR="00CA1E1F">
        <w:t>we</w:t>
      </w:r>
      <w:r>
        <w:t xml:space="preserve">re material to the financial position of the </w:t>
      </w:r>
      <w:r w:rsidR="00CA1E1F">
        <w:t>C</w:t>
      </w:r>
      <w:r>
        <w:t>ouncil</w:t>
      </w:r>
      <w:r w:rsidR="00CA1E1F">
        <w:t xml:space="preserve">, </w:t>
      </w:r>
      <w:r>
        <w:t>the Governance Committee would be asked to approve the updated Statement of Accounts</w:t>
      </w:r>
      <w:r w:rsidR="00CA1E1F">
        <w:t xml:space="preserve"> at a future meeting</w:t>
      </w:r>
      <w:r>
        <w:t>.</w:t>
      </w:r>
    </w:p>
    <w:p w:rsidR="00351641" w:rsidP="00351641" w14:paraId="78FDD36D" w14:textId="77777777">
      <w:pPr>
        <w:pStyle w:val="ListParagraph"/>
        <w:rPr>
          <w:rFonts w:cstheme="minorHAnsi"/>
          <w:bCs/>
          <w:iCs/>
        </w:rPr>
      </w:pPr>
    </w:p>
    <w:p w:rsidR="00351641" w:rsidP="002F1805" w14:paraId="3CA4E2F3" w14:textId="759B807B">
      <w:pPr>
        <w:numPr>
          <w:ilvl w:val="0"/>
          <w:numId w:val="11"/>
        </w:numPr>
        <w:spacing w:after="0" w:line="240" w:lineRule="auto"/>
        <w:ind w:left="567" w:hanging="567"/>
        <w:jc w:val="both"/>
        <w:rPr>
          <w:rFonts w:cstheme="minorHAnsi"/>
          <w:bCs/>
          <w:iCs/>
        </w:rPr>
      </w:pPr>
      <w:r>
        <w:rPr>
          <w:rFonts w:cstheme="minorHAnsi"/>
          <w:bCs/>
          <w:iCs/>
        </w:rPr>
        <w:t xml:space="preserve">As noted in </w:t>
      </w:r>
      <w:r w:rsidR="00CE1930">
        <w:rPr>
          <w:rFonts w:cstheme="minorHAnsi"/>
          <w:bCs/>
          <w:iCs/>
        </w:rPr>
        <w:t xml:space="preserve">Grant Thornton’s </w:t>
      </w:r>
      <w:r>
        <w:rPr>
          <w:rFonts w:cstheme="minorHAnsi"/>
          <w:bCs/>
          <w:iCs/>
        </w:rPr>
        <w:t>Audit Findings Report on th</w:t>
      </w:r>
      <w:r w:rsidR="00B34E61">
        <w:rPr>
          <w:rFonts w:cstheme="minorHAnsi"/>
          <w:bCs/>
          <w:iCs/>
        </w:rPr>
        <w:t xml:space="preserve">e agenda, </w:t>
      </w:r>
      <w:r w:rsidR="00CE1930">
        <w:rPr>
          <w:rFonts w:cstheme="minorHAnsi"/>
          <w:bCs/>
          <w:iCs/>
        </w:rPr>
        <w:t xml:space="preserve">they </w:t>
      </w:r>
      <w:r>
        <w:rPr>
          <w:rFonts w:cstheme="minorHAnsi"/>
          <w:bCs/>
          <w:iCs/>
        </w:rPr>
        <w:t>have now completed their audit work</w:t>
      </w:r>
      <w:r w:rsidR="00B34E61">
        <w:rPr>
          <w:rFonts w:cstheme="minorHAnsi"/>
          <w:bCs/>
          <w:iCs/>
        </w:rPr>
        <w:t>. In doing so, since 2</w:t>
      </w:r>
      <w:r w:rsidR="00CA1E1F">
        <w:rPr>
          <w:rFonts w:cstheme="minorHAnsi"/>
          <w:bCs/>
          <w:iCs/>
        </w:rPr>
        <w:t>8</w:t>
      </w:r>
      <w:r w:rsidRPr="00CA1E1F" w:rsidR="00CA1E1F">
        <w:rPr>
          <w:rFonts w:cstheme="minorHAnsi"/>
          <w:bCs/>
          <w:iCs/>
          <w:vertAlign w:val="superscript"/>
        </w:rPr>
        <w:t>th</w:t>
      </w:r>
      <w:r w:rsidR="00B34E61">
        <w:rPr>
          <w:rFonts w:cstheme="minorHAnsi"/>
          <w:bCs/>
          <w:iCs/>
        </w:rPr>
        <w:t xml:space="preserve"> November </w:t>
      </w:r>
      <w:r>
        <w:rPr>
          <w:rFonts w:cstheme="minorHAnsi"/>
          <w:bCs/>
          <w:iCs/>
        </w:rPr>
        <w:t xml:space="preserve">they have </w:t>
      </w:r>
      <w:r w:rsidRPr="00BC0624">
        <w:rPr>
          <w:rFonts w:cstheme="minorHAnsi"/>
          <w:bCs/>
          <w:iCs/>
        </w:rPr>
        <w:t xml:space="preserve">identified </w:t>
      </w:r>
      <w:r w:rsidRPr="00BC0624" w:rsidR="00BC0624">
        <w:rPr>
          <w:rFonts w:cstheme="minorHAnsi"/>
          <w:bCs/>
          <w:iCs/>
        </w:rPr>
        <w:t>4</w:t>
      </w:r>
      <w:r w:rsidRPr="00BC0624">
        <w:rPr>
          <w:rFonts w:cstheme="minorHAnsi"/>
          <w:bCs/>
          <w:iCs/>
        </w:rPr>
        <w:t xml:space="preserve"> adjustments </w:t>
      </w:r>
      <w:r w:rsidRPr="00BC0624" w:rsidR="00B34E61">
        <w:rPr>
          <w:rFonts w:cstheme="minorHAnsi"/>
          <w:bCs/>
          <w:iCs/>
        </w:rPr>
        <w:t xml:space="preserve">required </w:t>
      </w:r>
      <w:r w:rsidRPr="00BC0624">
        <w:rPr>
          <w:rFonts w:cstheme="minorHAnsi"/>
          <w:bCs/>
          <w:iCs/>
        </w:rPr>
        <w:t xml:space="preserve">to the accounts which they have discussed with </w:t>
      </w:r>
      <w:r w:rsidRPr="00BC0624" w:rsidR="00B34E61">
        <w:rPr>
          <w:rFonts w:cstheme="minorHAnsi"/>
          <w:bCs/>
          <w:iCs/>
        </w:rPr>
        <w:t>the</w:t>
      </w:r>
      <w:r w:rsidRPr="00BC0624">
        <w:rPr>
          <w:rFonts w:cstheme="minorHAnsi"/>
          <w:bCs/>
          <w:iCs/>
        </w:rPr>
        <w:t xml:space="preserve"> Direct</w:t>
      </w:r>
      <w:r>
        <w:rPr>
          <w:rFonts w:cstheme="minorHAnsi"/>
          <w:bCs/>
          <w:iCs/>
        </w:rPr>
        <w:t>or of Finance and her team; these amendments have been agreed and the 202</w:t>
      </w:r>
      <w:r w:rsidR="00CA1E1F">
        <w:rPr>
          <w:rFonts w:cstheme="minorHAnsi"/>
          <w:bCs/>
          <w:iCs/>
        </w:rPr>
        <w:t>2/23</w:t>
      </w:r>
      <w:r>
        <w:rPr>
          <w:rFonts w:cstheme="minorHAnsi"/>
          <w:bCs/>
          <w:iCs/>
        </w:rPr>
        <w:t xml:space="preserve"> Statement of Accounts updated accordingly.</w:t>
      </w:r>
    </w:p>
    <w:p w:rsidR="00351641" w:rsidP="00351641" w14:paraId="1CA362EA" w14:textId="77777777">
      <w:pPr>
        <w:pStyle w:val="ListParagraph"/>
        <w:rPr>
          <w:rFonts w:cstheme="minorHAnsi"/>
          <w:bCs/>
          <w:iCs/>
        </w:rPr>
      </w:pPr>
    </w:p>
    <w:p w:rsidR="00351641" w:rsidP="00B34E61" w14:paraId="43166E4B" w14:textId="5E467684">
      <w:pPr>
        <w:numPr>
          <w:ilvl w:val="0"/>
          <w:numId w:val="11"/>
        </w:numPr>
        <w:spacing w:after="0" w:line="240" w:lineRule="auto"/>
        <w:ind w:left="567" w:hanging="567"/>
        <w:jc w:val="both"/>
        <w:rPr>
          <w:rFonts w:cstheme="minorHAnsi"/>
          <w:bCs/>
          <w:iCs/>
        </w:rPr>
      </w:pPr>
      <w:r>
        <w:rPr>
          <w:rFonts w:cstheme="minorHAnsi"/>
          <w:bCs/>
          <w:iCs/>
        </w:rPr>
        <w:t xml:space="preserve">The </w:t>
      </w:r>
      <w:r w:rsidR="00B34E61">
        <w:rPr>
          <w:rFonts w:cstheme="minorHAnsi"/>
          <w:bCs/>
          <w:iCs/>
        </w:rPr>
        <w:t xml:space="preserve">full list of </w:t>
      </w:r>
      <w:r>
        <w:rPr>
          <w:rFonts w:cstheme="minorHAnsi"/>
          <w:bCs/>
          <w:iCs/>
        </w:rPr>
        <w:t xml:space="preserve">adjustments </w:t>
      </w:r>
      <w:r w:rsidR="00B34E61">
        <w:rPr>
          <w:rFonts w:cstheme="minorHAnsi"/>
          <w:bCs/>
          <w:iCs/>
        </w:rPr>
        <w:t xml:space="preserve">identified by Grant Thornton to the Draft Statement of Accounts published on </w:t>
      </w:r>
      <w:r w:rsidR="00262CE3">
        <w:rPr>
          <w:rFonts w:cstheme="minorHAnsi"/>
          <w:bCs/>
          <w:iCs/>
        </w:rPr>
        <w:t>1</w:t>
      </w:r>
      <w:r w:rsidR="00B34E61">
        <w:rPr>
          <w:rFonts w:cstheme="minorHAnsi"/>
          <w:bCs/>
          <w:iCs/>
        </w:rPr>
        <w:t>4</w:t>
      </w:r>
      <w:r w:rsidRPr="00262CE3" w:rsidR="00262CE3">
        <w:rPr>
          <w:rFonts w:cstheme="minorHAnsi"/>
          <w:bCs/>
          <w:iCs/>
          <w:vertAlign w:val="superscript"/>
        </w:rPr>
        <w:t>th</w:t>
      </w:r>
      <w:r w:rsidR="00B34E61">
        <w:rPr>
          <w:rFonts w:cstheme="minorHAnsi"/>
          <w:bCs/>
          <w:iCs/>
        </w:rPr>
        <w:t xml:space="preserve"> August 202</w:t>
      </w:r>
      <w:r w:rsidR="00262CE3">
        <w:rPr>
          <w:rFonts w:cstheme="minorHAnsi"/>
          <w:bCs/>
          <w:iCs/>
        </w:rPr>
        <w:t>3</w:t>
      </w:r>
      <w:r w:rsidR="00B34E61">
        <w:rPr>
          <w:rFonts w:cstheme="minorHAnsi"/>
          <w:bCs/>
          <w:iCs/>
        </w:rPr>
        <w:t xml:space="preserve"> are set out below; this can also be found in </w:t>
      </w:r>
      <w:r w:rsidRPr="00CE1930" w:rsidR="00B34E61">
        <w:rPr>
          <w:rFonts w:cstheme="minorHAnsi"/>
          <w:bCs/>
          <w:iCs/>
        </w:rPr>
        <w:t xml:space="preserve">Appendix </w:t>
      </w:r>
      <w:r w:rsidRPr="00CE1930" w:rsidR="00101643">
        <w:rPr>
          <w:rFonts w:cstheme="minorHAnsi"/>
          <w:bCs/>
          <w:iCs/>
        </w:rPr>
        <w:t>D</w:t>
      </w:r>
      <w:r w:rsidRPr="00CE1930" w:rsidR="00B34E61">
        <w:rPr>
          <w:rFonts w:cstheme="minorHAnsi"/>
          <w:bCs/>
          <w:iCs/>
        </w:rPr>
        <w:t xml:space="preserve"> of</w:t>
      </w:r>
      <w:r w:rsidR="00B34E61">
        <w:rPr>
          <w:rFonts w:cstheme="minorHAnsi"/>
          <w:bCs/>
          <w:iCs/>
        </w:rPr>
        <w:t xml:space="preserve"> the Audit Findings Report.</w:t>
      </w:r>
    </w:p>
    <w:p w:rsidR="00D01FF9" w:rsidP="00D01FF9" w14:paraId="4E92116E" w14:textId="77777777">
      <w:pPr>
        <w:pStyle w:val="ListParagraph"/>
        <w:rPr>
          <w:rFonts w:cstheme="minorHAnsi"/>
          <w:bCs/>
          <w:iCs/>
        </w:rPr>
      </w:pPr>
    </w:p>
    <w:p w:rsidR="00BC0624" w:rsidP="00BC0624" w14:paraId="475B6527" w14:textId="3AB8C07F">
      <w:pPr>
        <w:pStyle w:val="ListParagraph"/>
        <w:ind w:left="0"/>
        <w:rPr>
          <w:rFonts w:cstheme="minorHAnsi"/>
          <w:bCs/>
          <w:iCs/>
        </w:rPr>
      </w:pPr>
      <w:r>
        <w:rPr>
          <w:noProof/>
        </w:rPr>
        <w:drawing>
          <wp:inline distT="0" distB="0" distL="0" distR="0">
            <wp:extent cx="5731510" cy="3168650"/>
            <wp:effectExtent l="0" t="0" r="2540" b="0"/>
            <wp:docPr id="262668961"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68961" name="Picture 1" descr="A screenshot of a document&#10;&#10;Description automatically generated"/>
                    <pic:cNvPicPr/>
                  </pic:nvPicPr>
                  <pic:blipFill>
                    <a:blip xmlns:r="http://schemas.openxmlformats.org/officeDocument/2006/relationships" r:embed="rId5"/>
                    <a:stretch>
                      <a:fillRect/>
                    </a:stretch>
                  </pic:blipFill>
                  <pic:spPr>
                    <a:xfrm>
                      <a:off x="0" y="0"/>
                      <a:ext cx="5731510" cy="3168650"/>
                    </a:xfrm>
                    <a:prstGeom prst="rect">
                      <a:avLst/>
                    </a:prstGeom>
                  </pic:spPr>
                </pic:pic>
              </a:graphicData>
            </a:graphic>
          </wp:inline>
        </w:drawing>
      </w:r>
    </w:p>
    <w:p w:rsidR="00351641" w:rsidP="00D04144" w14:paraId="07880ECF" w14:textId="77777777">
      <w:pPr>
        <w:spacing w:after="0" w:line="240" w:lineRule="auto"/>
        <w:ind w:left="567"/>
        <w:jc w:val="both"/>
        <w:rPr>
          <w:rFonts w:cstheme="minorHAnsi"/>
          <w:bCs/>
          <w:iCs/>
        </w:rPr>
      </w:pPr>
    </w:p>
    <w:p w:rsidR="00543959" w:rsidRPr="001F2A40" w:rsidP="002F1805" w14:paraId="09ACD8CB" w14:textId="77777777">
      <w:pPr>
        <w:numPr>
          <w:ilvl w:val="0"/>
          <w:numId w:val="11"/>
        </w:numPr>
        <w:spacing w:after="0" w:line="240" w:lineRule="auto"/>
        <w:ind w:left="567" w:hanging="567"/>
        <w:jc w:val="both"/>
        <w:rPr>
          <w:rFonts w:cstheme="minorHAnsi"/>
          <w:bCs/>
          <w:iCs/>
        </w:rPr>
      </w:pPr>
      <w:r w:rsidRPr="001F2A40">
        <w:rPr>
          <w:rFonts w:cstheme="minorHAnsi"/>
          <w:bCs/>
          <w:iCs/>
        </w:rPr>
        <w:t>In relation to each of the points above;</w:t>
      </w:r>
    </w:p>
    <w:p w:rsidR="00D04144" w:rsidRPr="001F2A40" w:rsidP="00BC0624" w14:paraId="4705A30F" w14:textId="77777777">
      <w:pPr>
        <w:pStyle w:val="ListParagraph"/>
        <w:spacing w:after="0"/>
        <w:rPr>
          <w:rFonts w:cstheme="minorHAnsi"/>
          <w:bCs/>
          <w:iCs/>
        </w:rPr>
      </w:pPr>
    </w:p>
    <w:p w:rsidR="00FC05E1" w:rsidRPr="001F2A40" w:rsidP="00D04144" w14:paraId="29721C12" w14:textId="107DD3B1">
      <w:pPr>
        <w:numPr>
          <w:ilvl w:val="0"/>
          <w:numId w:val="17"/>
        </w:numPr>
        <w:spacing w:after="0" w:line="240" w:lineRule="auto"/>
        <w:jc w:val="both"/>
        <w:rPr>
          <w:rFonts w:cstheme="minorHAnsi"/>
          <w:bCs/>
          <w:iCs/>
        </w:rPr>
      </w:pPr>
      <w:r w:rsidRPr="001F2A40">
        <w:rPr>
          <w:rFonts w:cstheme="minorHAnsi"/>
          <w:bCs/>
          <w:iCs/>
        </w:rPr>
        <w:t xml:space="preserve">The first two adjustments </w:t>
      </w:r>
      <w:r w:rsidR="00BC0624">
        <w:rPr>
          <w:rFonts w:cstheme="minorHAnsi"/>
          <w:bCs/>
          <w:iCs/>
        </w:rPr>
        <w:t xml:space="preserve">to the council’s accounts and the one adjustment to the group accounts </w:t>
      </w:r>
      <w:r w:rsidRPr="001F2A40">
        <w:rPr>
          <w:rFonts w:cstheme="minorHAnsi"/>
          <w:bCs/>
          <w:iCs/>
        </w:rPr>
        <w:t>relate to a</w:t>
      </w:r>
      <w:r w:rsidRPr="001F2A40" w:rsidR="001C3756">
        <w:rPr>
          <w:rFonts w:cstheme="minorHAnsi"/>
          <w:bCs/>
          <w:iCs/>
        </w:rPr>
        <w:t xml:space="preserve">ccounting for the pension </w:t>
      </w:r>
      <w:r w:rsidRPr="001F2A40">
        <w:rPr>
          <w:rFonts w:cstheme="minorHAnsi"/>
          <w:bCs/>
          <w:iCs/>
        </w:rPr>
        <w:t xml:space="preserve">for both South Ribble Council and its wholly owned subsidiary, South Ribble Leisure Ltd. Accounting for pensions </w:t>
      </w:r>
      <w:r w:rsidRPr="001F2A40" w:rsidR="001C3756">
        <w:rPr>
          <w:rFonts w:cstheme="minorHAnsi"/>
          <w:bCs/>
          <w:iCs/>
        </w:rPr>
        <w:t xml:space="preserve">was unusual </w:t>
      </w:r>
      <w:r w:rsidRPr="001F2A40" w:rsidR="00331A01">
        <w:rPr>
          <w:rFonts w:cstheme="minorHAnsi"/>
          <w:bCs/>
          <w:iCs/>
        </w:rPr>
        <w:t>in</w:t>
      </w:r>
      <w:r w:rsidRPr="001F2A40" w:rsidR="001C3756">
        <w:rPr>
          <w:rFonts w:cstheme="minorHAnsi"/>
          <w:bCs/>
          <w:iCs/>
        </w:rPr>
        <w:t xml:space="preserve"> 2022/23 due to there being a </w:t>
      </w:r>
      <w:r w:rsidRPr="001F2A40" w:rsidR="00331A01">
        <w:rPr>
          <w:rFonts w:cstheme="minorHAnsi"/>
          <w:bCs/>
          <w:iCs/>
        </w:rPr>
        <w:t xml:space="preserve">net </w:t>
      </w:r>
      <w:r w:rsidRPr="001F2A40" w:rsidR="001C3756">
        <w:rPr>
          <w:rFonts w:cstheme="minorHAnsi"/>
          <w:bCs/>
          <w:iCs/>
        </w:rPr>
        <w:t xml:space="preserve">surplus on the </w:t>
      </w:r>
      <w:r w:rsidRPr="001F2A40">
        <w:rPr>
          <w:rFonts w:cstheme="minorHAnsi"/>
          <w:bCs/>
          <w:iCs/>
        </w:rPr>
        <w:t xml:space="preserve">respective </w:t>
      </w:r>
      <w:r w:rsidRPr="001F2A40" w:rsidR="001C3756">
        <w:rPr>
          <w:rFonts w:cstheme="minorHAnsi"/>
          <w:bCs/>
          <w:iCs/>
        </w:rPr>
        <w:t>fund</w:t>
      </w:r>
      <w:r w:rsidRPr="001F2A40" w:rsidR="00331A01">
        <w:rPr>
          <w:rFonts w:cstheme="minorHAnsi"/>
          <w:bCs/>
          <w:iCs/>
        </w:rPr>
        <w:t>; this position was not unique to South Ribble. The fund actuaries were requested to provide an IFRIC 14 assessment which considered the limit to be placed on this defined benefit asset. This was the approach taken by many local authorities across the country who found themselves in the same position.</w:t>
      </w:r>
      <w:r w:rsidRPr="001F2A40" w:rsidR="001C3756">
        <w:rPr>
          <w:rFonts w:cstheme="minorHAnsi"/>
          <w:bCs/>
          <w:iCs/>
        </w:rPr>
        <w:t xml:space="preserve"> </w:t>
      </w:r>
      <w:r w:rsidRPr="001F2A40" w:rsidR="0060685F">
        <w:rPr>
          <w:rFonts w:cstheme="minorHAnsi"/>
          <w:bCs/>
          <w:iCs/>
        </w:rPr>
        <w:t xml:space="preserve">At the time of preparing the accounts it was uncertain how this surplus should be treated. </w:t>
      </w:r>
      <w:r w:rsidRPr="001F2A40" w:rsidR="001C3756">
        <w:rPr>
          <w:rFonts w:cstheme="minorHAnsi"/>
          <w:bCs/>
          <w:iCs/>
        </w:rPr>
        <w:t xml:space="preserve">Following </w:t>
      </w:r>
      <w:r w:rsidRPr="001F2A40">
        <w:rPr>
          <w:rFonts w:cstheme="minorHAnsi"/>
          <w:bCs/>
          <w:iCs/>
        </w:rPr>
        <w:t xml:space="preserve">the </w:t>
      </w:r>
      <w:r w:rsidRPr="001F2A40" w:rsidR="001C3756">
        <w:rPr>
          <w:rFonts w:cstheme="minorHAnsi"/>
          <w:bCs/>
          <w:iCs/>
        </w:rPr>
        <w:t xml:space="preserve">IFRIC 14 Assessment in November 2023, and </w:t>
      </w:r>
      <w:r w:rsidRPr="001F2A40">
        <w:rPr>
          <w:rFonts w:cstheme="minorHAnsi"/>
          <w:bCs/>
          <w:iCs/>
        </w:rPr>
        <w:t xml:space="preserve">on </w:t>
      </w:r>
      <w:r w:rsidRPr="001F2A40" w:rsidR="001C3756">
        <w:rPr>
          <w:rFonts w:cstheme="minorHAnsi"/>
          <w:bCs/>
          <w:iCs/>
        </w:rPr>
        <w:t xml:space="preserve">advice from the technical team at Grant Thornton, adjustments were </w:t>
      </w:r>
      <w:r w:rsidRPr="001F2A40">
        <w:rPr>
          <w:rFonts w:cstheme="minorHAnsi"/>
          <w:bCs/>
          <w:iCs/>
        </w:rPr>
        <w:t>identified</w:t>
      </w:r>
      <w:r w:rsidRPr="001F2A40" w:rsidR="0060685F">
        <w:rPr>
          <w:rFonts w:cstheme="minorHAnsi"/>
          <w:bCs/>
          <w:iCs/>
        </w:rPr>
        <w:t xml:space="preserve"> and </w:t>
      </w:r>
      <w:r w:rsidRPr="001F2A40">
        <w:rPr>
          <w:rFonts w:cstheme="minorHAnsi"/>
          <w:bCs/>
          <w:iCs/>
        </w:rPr>
        <w:t>actioned</w:t>
      </w:r>
      <w:r w:rsidRPr="001F2A40" w:rsidR="0060685F">
        <w:rPr>
          <w:rFonts w:cstheme="minorHAnsi"/>
          <w:bCs/>
          <w:iCs/>
        </w:rPr>
        <w:t xml:space="preserve"> in line with the advice received.</w:t>
      </w:r>
    </w:p>
    <w:p w:rsidR="001F2A40" w:rsidRPr="001F2A40" w:rsidP="001F2A40" w14:paraId="09602105" w14:textId="77777777">
      <w:pPr>
        <w:spacing w:after="0" w:line="240" w:lineRule="auto"/>
        <w:ind w:left="927"/>
        <w:jc w:val="both"/>
      </w:pPr>
    </w:p>
    <w:p w:rsidR="00CD4005" w:rsidRPr="001F2A40" w:rsidP="00FC05E1" w14:paraId="66834FD2" w14:textId="67FBAD0F">
      <w:pPr>
        <w:numPr>
          <w:ilvl w:val="0"/>
          <w:numId w:val="17"/>
        </w:numPr>
        <w:spacing w:after="0" w:line="240" w:lineRule="auto"/>
        <w:jc w:val="both"/>
      </w:pPr>
      <w:r w:rsidRPr="001F2A40">
        <w:rPr>
          <w:rFonts w:cstheme="minorHAnsi"/>
          <w:bCs/>
          <w:iCs/>
        </w:rPr>
        <w:t>The</w:t>
      </w:r>
      <w:r w:rsidRPr="001F2A40" w:rsidR="001F2A40">
        <w:rPr>
          <w:rFonts w:cstheme="minorHAnsi"/>
          <w:bCs/>
          <w:iCs/>
        </w:rPr>
        <w:t xml:space="preserve"> third </w:t>
      </w:r>
      <w:r w:rsidR="00BC0624">
        <w:rPr>
          <w:rFonts w:cstheme="minorHAnsi"/>
          <w:bCs/>
          <w:iCs/>
        </w:rPr>
        <w:t xml:space="preserve">adjustment to the council’s accounts </w:t>
      </w:r>
      <w:r w:rsidRPr="001F2A40" w:rsidR="0060685F">
        <w:rPr>
          <w:rFonts w:cstheme="minorHAnsi"/>
          <w:bCs/>
          <w:iCs/>
        </w:rPr>
        <w:t>re</w:t>
      </w:r>
      <w:r w:rsidRPr="001F2A40" w:rsidR="001F2A40">
        <w:rPr>
          <w:rFonts w:cstheme="minorHAnsi"/>
          <w:bCs/>
          <w:iCs/>
        </w:rPr>
        <w:t xml:space="preserve">lates to </w:t>
      </w:r>
      <w:r w:rsidRPr="001F2A40" w:rsidR="0060685F">
        <w:rPr>
          <w:rFonts w:cstheme="minorHAnsi"/>
          <w:bCs/>
          <w:iCs/>
        </w:rPr>
        <w:t>P</w:t>
      </w:r>
      <w:r w:rsidRPr="001F2A40" w:rsidR="001F2A40">
        <w:rPr>
          <w:rFonts w:cstheme="minorHAnsi"/>
          <w:bCs/>
          <w:iCs/>
        </w:rPr>
        <w:t>roperty, Plant and Equipment (PPE)</w:t>
      </w:r>
      <w:r w:rsidRPr="001F2A40">
        <w:rPr>
          <w:rFonts w:cstheme="minorHAnsi"/>
          <w:bCs/>
          <w:iCs/>
        </w:rPr>
        <w:t xml:space="preserve"> </w:t>
      </w:r>
      <w:r w:rsidRPr="001F2A40" w:rsidR="001F2A40">
        <w:rPr>
          <w:rFonts w:cstheme="minorHAnsi"/>
          <w:bCs/>
          <w:iCs/>
        </w:rPr>
        <w:t xml:space="preserve">and the </w:t>
      </w:r>
      <w:r w:rsidRPr="001F2A40" w:rsidR="0060685F">
        <w:rPr>
          <w:rFonts w:cstheme="minorHAnsi"/>
          <w:bCs/>
          <w:iCs/>
        </w:rPr>
        <w:t>incorrect use of the revaluation reserve</w:t>
      </w:r>
      <w:r w:rsidRPr="001F2A40" w:rsidR="001F2A40">
        <w:rPr>
          <w:rFonts w:cstheme="minorHAnsi"/>
          <w:bCs/>
          <w:iCs/>
        </w:rPr>
        <w:t>, rather than the Comprehensive Income and Expenditure Statement (CIES)</w:t>
      </w:r>
      <w:r w:rsidRPr="001F2A40" w:rsidR="0060685F">
        <w:rPr>
          <w:rFonts w:cstheme="minorHAnsi"/>
          <w:bCs/>
          <w:iCs/>
        </w:rPr>
        <w:t xml:space="preserve"> </w:t>
      </w:r>
      <w:r w:rsidR="00BC0624">
        <w:rPr>
          <w:rFonts w:cstheme="minorHAnsi"/>
          <w:bCs/>
          <w:iCs/>
        </w:rPr>
        <w:t xml:space="preserve">following an </w:t>
      </w:r>
      <w:r w:rsidRPr="001F2A40" w:rsidR="001F2A40">
        <w:rPr>
          <w:rFonts w:cstheme="minorHAnsi"/>
          <w:bCs/>
          <w:iCs/>
        </w:rPr>
        <w:t xml:space="preserve">adjustment </w:t>
      </w:r>
      <w:r w:rsidR="00BC0624">
        <w:rPr>
          <w:rFonts w:cstheme="minorHAnsi"/>
          <w:bCs/>
          <w:iCs/>
        </w:rPr>
        <w:t>to</w:t>
      </w:r>
      <w:r w:rsidRPr="001F2A40" w:rsidR="001F2A40">
        <w:rPr>
          <w:rFonts w:cstheme="minorHAnsi"/>
          <w:bCs/>
          <w:iCs/>
        </w:rPr>
        <w:t xml:space="preserve"> the council’s </w:t>
      </w:r>
      <w:r w:rsidRPr="001F2A40" w:rsidR="0060685F">
        <w:rPr>
          <w:rFonts w:cstheme="minorHAnsi"/>
          <w:bCs/>
          <w:iCs/>
        </w:rPr>
        <w:t>asset register. This has been reviewed and additional checks and balances put in place to ensure correct accounting for 2023/24</w:t>
      </w:r>
      <w:r w:rsidRPr="001F2A40" w:rsidR="001F2A40">
        <w:rPr>
          <w:rFonts w:cstheme="minorHAnsi"/>
          <w:bCs/>
          <w:iCs/>
        </w:rPr>
        <w:t xml:space="preserve"> and beyond</w:t>
      </w:r>
      <w:r w:rsidRPr="001F2A40" w:rsidR="0060685F">
        <w:rPr>
          <w:rFonts w:cstheme="minorHAnsi"/>
          <w:bCs/>
          <w:iCs/>
        </w:rPr>
        <w:t>.</w:t>
      </w:r>
    </w:p>
    <w:p w:rsidR="001F2A40" w:rsidRPr="001F2A40" w:rsidP="001F2A40" w14:paraId="63EEE761" w14:textId="77777777">
      <w:pPr>
        <w:spacing w:after="0" w:line="240" w:lineRule="auto"/>
        <w:ind w:left="927"/>
        <w:jc w:val="both"/>
        <w:rPr>
          <w:highlight w:val="yellow"/>
        </w:rPr>
      </w:pPr>
    </w:p>
    <w:p w:rsidR="00101643" w:rsidP="00D32CCE" w14:paraId="66F9A4F1" w14:textId="43407AE7">
      <w:pPr>
        <w:pStyle w:val="ListParagraph"/>
        <w:numPr>
          <w:ilvl w:val="0"/>
          <w:numId w:val="11"/>
        </w:numPr>
        <w:spacing w:after="0" w:line="240" w:lineRule="auto"/>
        <w:ind w:left="567" w:hanging="567"/>
        <w:jc w:val="both"/>
        <w:rPr>
          <w:rFonts w:ascii="Arial" w:hAnsi="Arial" w:cs="Arial"/>
          <w:lang w:eastAsia="en-GB"/>
        </w:rPr>
      </w:pPr>
      <w:bookmarkStart w:id="0" w:name="_Hlk107392085"/>
      <w:r w:rsidRPr="00BC0624">
        <w:t>Misclassification and disclosure changes have been made to the accounts as outlined in page 3</w:t>
      </w:r>
      <w:r w:rsidRPr="00BC0624" w:rsidR="00BC0624">
        <w:t>4</w:t>
      </w:r>
      <w:r w:rsidRPr="00A63A7B">
        <w:t xml:space="preserve"> of Grant Thornton’s Audit Findings Report.</w:t>
      </w:r>
    </w:p>
    <w:p w:rsidR="00101643" w:rsidP="00101643" w14:paraId="023C683A" w14:textId="77777777">
      <w:pPr>
        <w:pStyle w:val="ListParagraph"/>
        <w:spacing w:after="0" w:line="240" w:lineRule="auto"/>
        <w:ind w:left="567"/>
        <w:jc w:val="both"/>
        <w:rPr>
          <w:rFonts w:ascii="Arial" w:hAnsi="Arial" w:cs="Arial"/>
          <w:lang w:eastAsia="en-GB"/>
        </w:rPr>
      </w:pPr>
    </w:p>
    <w:p w:rsidR="00101643" w:rsidRPr="00CE1930" w:rsidP="00101643" w14:paraId="0A7731EF" w14:textId="71D5AAE6">
      <w:pPr>
        <w:numPr>
          <w:ilvl w:val="0"/>
          <w:numId w:val="11"/>
        </w:numPr>
        <w:spacing w:after="0" w:line="240" w:lineRule="auto"/>
        <w:ind w:left="567" w:hanging="567"/>
        <w:jc w:val="both"/>
        <w:rPr>
          <w:rFonts w:cstheme="minorHAnsi"/>
          <w:bCs/>
          <w:iCs/>
        </w:rPr>
      </w:pPr>
      <w:r w:rsidRPr="00BC0624">
        <w:t>2 adjustments identified by the auditors that have not been actioned as they are not material to the accounts are detailed on page 3</w:t>
      </w:r>
      <w:r w:rsidRPr="00BC0624" w:rsidR="00BC0624">
        <w:t>5</w:t>
      </w:r>
      <w:r w:rsidRPr="00BC0624">
        <w:t xml:space="preserve"> of the</w:t>
      </w:r>
      <w:r>
        <w:t xml:space="preserve"> Audit Findings Report:</w:t>
      </w:r>
    </w:p>
    <w:p w:rsidR="00CE1930" w:rsidP="00CE1930" w14:paraId="6DCE4900" w14:textId="77777777">
      <w:pPr>
        <w:pStyle w:val="ListParagraph"/>
        <w:rPr>
          <w:rFonts w:cstheme="minorHAnsi"/>
          <w:bCs/>
          <w:iCs/>
        </w:rPr>
      </w:pPr>
    </w:p>
    <w:p w:rsidR="00101643" w:rsidP="00101643" w14:paraId="414CEC1D" w14:textId="6C4D0A7C">
      <w:pPr>
        <w:pStyle w:val="ListParagraph"/>
        <w:spacing w:after="0" w:line="240" w:lineRule="auto"/>
        <w:ind w:left="567"/>
        <w:jc w:val="both"/>
        <w:rPr>
          <w:rFonts w:ascii="Arial" w:hAnsi="Arial" w:cs="Arial"/>
          <w:lang w:eastAsia="en-GB"/>
        </w:rPr>
      </w:pPr>
      <w:r>
        <w:rPr>
          <w:noProof/>
        </w:rPr>
        <w:drawing>
          <wp:inline distT="0" distB="0" distL="0" distR="0">
            <wp:extent cx="5731510" cy="2033270"/>
            <wp:effectExtent l="0" t="0" r="2540" b="5080"/>
            <wp:docPr id="750732303"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732303" name="Picture 1" descr="A screenshot of a document&#10;&#10;Description automatically generated"/>
                    <pic:cNvPicPr/>
                  </pic:nvPicPr>
                  <pic:blipFill>
                    <a:blip xmlns:r="http://schemas.openxmlformats.org/officeDocument/2006/relationships" r:embed="rId6"/>
                    <a:stretch>
                      <a:fillRect/>
                    </a:stretch>
                  </pic:blipFill>
                  <pic:spPr>
                    <a:xfrm>
                      <a:off x="0" y="0"/>
                      <a:ext cx="5731510" cy="2033270"/>
                    </a:xfrm>
                    <a:prstGeom prst="rect">
                      <a:avLst/>
                    </a:prstGeom>
                  </pic:spPr>
                </pic:pic>
              </a:graphicData>
            </a:graphic>
          </wp:inline>
        </w:drawing>
      </w:r>
    </w:p>
    <w:p w:rsidR="00101643" w:rsidP="00101643" w14:paraId="468EFB87" w14:textId="77777777">
      <w:pPr>
        <w:pStyle w:val="ListParagraph"/>
        <w:spacing w:after="0" w:line="240" w:lineRule="auto"/>
        <w:ind w:left="567"/>
        <w:jc w:val="both"/>
        <w:rPr>
          <w:rFonts w:ascii="Arial" w:hAnsi="Arial" w:cs="Arial"/>
          <w:lang w:eastAsia="en-GB"/>
        </w:rPr>
      </w:pPr>
    </w:p>
    <w:p w:rsidR="00101643" w:rsidP="00D32CCE" w14:paraId="728E0815" w14:textId="27934FE6">
      <w:pPr>
        <w:pStyle w:val="ListParagraph"/>
        <w:numPr>
          <w:ilvl w:val="0"/>
          <w:numId w:val="11"/>
        </w:numPr>
        <w:spacing w:after="0" w:line="240" w:lineRule="auto"/>
        <w:ind w:left="567" w:hanging="567"/>
        <w:jc w:val="both"/>
        <w:rPr>
          <w:rFonts w:ascii="Arial" w:hAnsi="Arial" w:cs="Arial"/>
          <w:lang w:eastAsia="en-GB"/>
        </w:rPr>
      </w:pPr>
      <w:r>
        <w:rPr>
          <w:rFonts w:ascii="Arial" w:hAnsi="Arial" w:cs="Arial"/>
          <w:lang w:eastAsia="en-GB"/>
        </w:rPr>
        <w:t xml:space="preserve">Having </w:t>
      </w:r>
      <w:r>
        <w:t xml:space="preserve">considered </w:t>
      </w:r>
      <w:r w:rsidRPr="00331A01">
        <w:t xml:space="preserve">the position, the council </w:t>
      </w:r>
      <w:r w:rsidRPr="00331A01" w:rsidR="001C3756">
        <w:t xml:space="preserve">have decided not to adjust for these items as they are not material to the overall position of the accounts. The Provision for Business Rates appeals is reviewed annually and the provision for 2023/24 will be calculated using the methodology that resulted in the revised figure above. The interest income </w:t>
      </w:r>
      <w:r w:rsidRPr="00331A01" w:rsidR="00331A01">
        <w:t xml:space="preserve">referred to </w:t>
      </w:r>
      <w:r w:rsidRPr="00331A01" w:rsidR="0060685F">
        <w:t xml:space="preserve">above </w:t>
      </w:r>
      <w:r w:rsidRPr="00331A01" w:rsidR="001C3756">
        <w:t xml:space="preserve">will be included within the </w:t>
      </w:r>
      <w:r w:rsidRPr="00331A01" w:rsidR="00331A01">
        <w:t>20</w:t>
      </w:r>
      <w:r w:rsidRPr="00331A01" w:rsidR="001C3756">
        <w:t>23/24 accounts</w:t>
      </w:r>
      <w:r w:rsidRPr="00331A01" w:rsidR="0060685F">
        <w:t>,</w:t>
      </w:r>
      <w:r w:rsidRPr="00331A01" w:rsidR="001C3756">
        <w:t xml:space="preserve"> and new approaches to treasury management and reconciliation</w:t>
      </w:r>
      <w:r w:rsidRPr="00331A01" w:rsidR="00331A01">
        <w:t>s that have now been introduced</w:t>
      </w:r>
      <w:r w:rsidRPr="00331A01" w:rsidR="001C3756">
        <w:t xml:space="preserve"> will ensure th</w:t>
      </w:r>
      <w:r w:rsidRPr="00331A01" w:rsidR="00331A01">
        <w:t>at such an</w:t>
      </w:r>
      <w:r w:rsidRPr="00331A01" w:rsidR="0060685F">
        <w:t xml:space="preserve"> understatement </w:t>
      </w:r>
      <w:r w:rsidRPr="00331A01" w:rsidR="001C3756">
        <w:t>is not an issue for 23/24.</w:t>
      </w:r>
      <w:r w:rsidRPr="00331A01">
        <w:t xml:space="preserve"> This</w:t>
      </w:r>
      <w:r>
        <w:t xml:space="preserve"> unadjusted misstatement is referred to in the Letter of Representation to be signed by the Chair of the Governance Committee and the Director of Finance</w:t>
      </w:r>
    </w:p>
    <w:p w:rsidR="00EF651A" w:rsidRPr="00EF651A" w:rsidP="00EF651A" w14:paraId="558E0491" w14:textId="77777777">
      <w:pPr>
        <w:spacing w:after="0" w:line="240" w:lineRule="auto"/>
        <w:ind w:left="567"/>
        <w:jc w:val="both"/>
        <w:rPr>
          <w:rFonts w:cstheme="minorHAnsi"/>
          <w:bCs/>
          <w:iCs/>
        </w:rPr>
      </w:pPr>
    </w:p>
    <w:p w:rsidR="00EF651A" w:rsidRPr="00A63A7B" w:rsidP="00EF651A" w14:paraId="581BD4F4" w14:textId="1A2AFF28">
      <w:pPr>
        <w:numPr>
          <w:ilvl w:val="0"/>
          <w:numId w:val="11"/>
        </w:numPr>
        <w:spacing w:after="0" w:line="240" w:lineRule="auto"/>
        <w:ind w:left="567" w:hanging="567"/>
        <w:jc w:val="both"/>
        <w:rPr>
          <w:rFonts w:cstheme="minorHAnsi"/>
          <w:bCs/>
          <w:iCs/>
        </w:rPr>
      </w:pPr>
      <w:r>
        <w:t xml:space="preserve">The Annual Governance Statement is unchanged from that approved by the Committee </w:t>
      </w:r>
      <w:r w:rsidRPr="00CE1930">
        <w:t xml:space="preserve">on </w:t>
      </w:r>
      <w:r w:rsidRPr="00CE1930" w:rsidR="00CE1930">
        <w:t>23 May</w:t>
      </w:r>
      <w:r>
        <w:t xml:space="preserve"> 2023</w:t>
      </w:r>
    </w:p>
    <w:p w:rsidR="00101643" w:rsidP="00EF651A" w14:paraId="2B6FAA19" w14:textId="77777777">
      <w:pPr>
        <w:pStyle w:val="ListParagraph"/>
        <w:spacing w:after="0" w:line="240" w:lineRule="auto"/>
        <w:ind w:left="567"/>
        <w:jc w:val="both"/>
        <w:rPr>
          <w:rFonts w:ascii="Arial" w:hAnsi="Arial" w:cs="Arial"/>
          <w:lang w:eastAsia="en-GB"/>
        </w:rPr>
      </w:pPr>
    </w:p>
    <w:p w:rsidR="00101643" w:rsidRPr="008C37E1" w:rsidP="00101643" w14:paraId="34563612" w14:textId="77777777">
      <w:pPr>
        <w:pStyle w:val="Heading2"/>
      </w:pPr>
      <w:r w:rsidRPr="008C37E1">
        <w:t>Climate change and air quality</w:t>
      </w:r>
    </w:p>
    <w:p w:rsidR="00101643" w:rsidRPr="00101643" w:rsidP="00101643" w14:paraId="7BE7C872" w14:textId="77777777">
      <w:pPr>
        <w:spacing w:after="0" w:line="240" w:lineRule="auto"/>
        <w:jc w:val="both"/>
        <w:rPr>
          <w:rFonts w:ascii="Arial" w:hAnsi="Arial" w:cs="Arial"/>
          <w:lang w:eastAsia="en-GB"/>
        </w:rPr>
      </w:pPr>
    </w:p>
    <w:p w:rsidR="002F4B61" w:rsidRPr="002F4B61" w:rsidP="00D32CCE" w14:paraId="7B85C9DE" w14:textId="208D476B">
      <w:pPr>
        <w:pStyle w:val="ListParagraph"/>
        <w:numPr>
          <w:ilvl w:val="0"/>
          <w:numId w:val="11"/>
        </w:numPr>
        <w:spacing w:after="0" w:line="240" w:lineRule="auto"/>
        <w:ind w:left="567" w:hanging="567"/>
        <w:jc w:val="both"/>
        <w:rPr>
          <w:rFonts w:ascii="Arial" w:hAnsi="Arial" w:cs="Arial"/>
          <w:lang w:eastAsia="en-GB"/>
        </w:rPr>
      </w:pPr>
      <w:r>
        <w:t xml:space="preserve">The </w:t>
      </w:r>
      <w:bookmarkStart w:id="1" w:name="_Hlk157505596"/>
      <w:r>
        <w:t xml:space="preserve">work noted in this report does not impact the climate change and sustainability </w:t>
      </w:r>
      <w:r w:rsidR="007948D6">
        <w:t xml:space="preserve">targets of the Councils Green Agenda and all environmental considerations are in </w:t>
      </w:r>
      <w:bookmarkEnd w:id="1"/>
      <w:r w:rsidR="007948D6">
        <w:t>place.</w:t>
      </w:r>
      <w:r w:rsidR="008B2D37">
        <w:t xml:space="preserve"> </w:t>
      </w:r>
    </w:p>
    <w:p w:rsidR="008B2D37" w:rsidRPr="004758E2" w:rsidP="008B2D37" w14:paraId="569E50F8" w14:textId="77777777">
      <w:pPr>
        <w:tabs>
          <w:tab w:val="left" w:pos="567"/>
        </w:tabs>
        <w:spacing w:after="0" w:line="240" w:lineRule="auto"/>
        <w:ind w:right="-284"/>
        <w:rPr>
          <w:rFonts w:ascii="Arial" w:eastAsia="Times New Roman" w:hAnsi="Arial" w:cs="Arial"/>
          <w:lang w:eastAsia="en-GB"/>
        </w:rPr>
      </w:pPr>
    </w:p>
    <w:p w:rsidR="008B2D37" w:rsidRPr="008C37E1" w:rsidP="00163649" w14:paraId="129515BC" w14:textId="77777777">
      <w:pPr>
        <w:pStyle w:val="Heading2"/>
      </w:pPr>
      <w:bookmarkStart w:id="2" w:name="_Hlk107392059"/>
      <w:bookmarkEnd w:id="0"/>
      <w:r w:rsidRPr="008C37E1">
        <w:t>Equality and diversity</w:t>
      </w:r>
    </w:p>
    <w:p w:rsidR="008B2D37" w:rsidRPr="00ED4FF1" w:rsidP="00163649" w14:paraId="7C6F8664" w14:textId="77777777">
      <w:pPr>
        <w:spacing w:after="0"/>
      </w:pPr>
    </w:p>
    <w:p w:rsidR="008B2D37" w:rsidRPr="00163649" w:rsidP="00163649" w14:paraId="5D8393E7" w14:textId="77777777">
      <w:pPr>
        <w:pStyle w:val="ListParagraph"/>
        <w:numPr>
          <w:ilvl w:val="0"/>
          <w:numId w:val="11"/>
        </w:numPr>
        <w:spacing w:after="0"/>
        <w:ind w:left="567" w:hanging="567"/>
        <w:rPr>
          <w:rFonts w:cstheme="minorHAnsi"/>
          <w:iCs/>
        </w:rPr>
      </w:pPr>
      <w:r>
        <w:t>This</w:t>
      </w:r>
      <w:r w:rsidRPr="00584159" w:rsidR="008C6B99">
        <w:t xml:space="preserve"> </w:t>
      </w:r>
      <w:r>
        <w:t>report has no implications in respect of equality and diversity</w:t>
      </w:r>
      <w:r w:rsidRPr="00584159" w:rsidR="008C6B99">
        <w:t xml:space="preserve">. </w:t>
      </w:r>
    </w:p>
    <w:p w:rsidR="00584159" w:rsidRPr="00584159" w:rsidP="00163649" w14:paraId="1BCDDC36" w14:textId="77777777">
      <w:pPr>
        <w:spacing w:after="0"/>
        <w:rPr>
          <w:rFonts w:cstheme="minorHAnsi"/>
          <w:iCs/>
        </w:rPr>
      </w:pPr>
    </w:p>
    <w:p w:rsidR="008B2D37" w:rsidRPr="008C37E1" w:rsidP="001D3B9C" w14:paraId="4385CE8C" w14:textId="77777777">
      <w:pPr>
        <w:pStyle w:val="Heading2"/>
      </w:pPr>
      <w:r w:rsidRPr="008C37E1">
        <w:t>Risk</w:t>
      </w:r>
    </w:p>
    <w:bookmarkEnd w:id="2"/>
    <w:p w:rsidR="008B2D37" w:rsidP="008B2D37" w14:paraId="7F519CE8" w14:textId="77777777">
      <w:pPr>
        <w:spacing w:after="0"/>
      </w:pPr>
    </w:p>
    <w:p w:rsidR="008B2D37" w:rsidRPr="001D3B9C" w:rsidP="00D32CCE" w14:paraId="78FD7E7E" w14:textId="77777777">
      <w:pPr>
        <w:pStyle w:val="ListParagraph"/>
        <w:numPr>
          <w:ilvl w:val="0"/>
          <w:numId w:val="11"/>
        </w:numPr>
        <w:spacing w:after="0"/>
        <w:ind w:left="567" w:hanging="567"/>
        <w:jc w:val="both"/>
        <w:rPr>
          <w:b/>
          <w:bCs/>
        </w:rPr>
      </w:pPr>
      <w:r>
        <w:t>The accounts must be compliant with the relevant standards and must be prepared on a true and fair view basis. Failure to comply could result in a failure to meet the statutory duty</w:t>
      </w:r>
      <w:r w:rsidRPr="00A964C7" w:rsidR="008C6B99">
        <w:t>.</w:t>
      </w:r>
    </w:p>
    <w:p w:rsidR="00D1305C" w:rsidRPr="002F1805" w:rsidP="001D3B9C" w14:paraId="2FEA9EB0" w14:textId="77777777">
      <w:pPr>
        <w:spacing w:after="0"/>
        <w:rPr>
          <w:rFonts w:cstheme="minorHAnsi"/>
          <w:b/>
          <w:bCs/>
          <w:sz w:val="20"/>
          <w:szCs w:val="20"/>
        </w:rPr>
      </w:pPr>
    </w:p>
    <w:p w:rsidR="00D1305C" w:rsidP="006D56BC" w14:paraId="56D6839A" w14:textId="77777777">
      <w:pPr>
        <w:pStyle w:val="Heading2"/>
      </w:pPr>
      <w:r w:rsidRPr="008C37E1">
        <w:t>Comments of the Statutory Finance Officer</w:t>
      </w:r>
    </w:p>
    <w:p w:rsidR="008C37E1" w:rsidRPr="008C37E1" w:rsidP="006D56BC" w14:paraId="7E839796" w14:textId="77777777">
      <w:pPr>
        <w:spacing w:after="0"/>
      </w:pPr>
    </w:p>
    <w:p w:rsidR="00D1305C" w:rsidRPr="00D32CCE" w:rsidP="00E10BF8" w14:paraId="195B643C" w14:textId="74D24C06">
      <w:pPr>
        <w:numPr>
          <w:ilvl w:val="0"/>
          <w:numId w:val="11"/>
        </w:numPr>
        <w:spacing w:after="0" w:line="240" w:lineRule="auto"/>
        <w:ind w:left="567" w:hanging="567"/>
        <w:jc w:val="both"/>
        <w:rPr>
          <w:rFonts w:cstheme="minorHAnsi"/>
          <w:bCs/>
          <w:iCs/>
        </w:rPr>
      </w:pPr>
      <w:r>
        <w:t>The report meets the statutory accounting requirements for the Statement of Accounts to be produced</w:t>
      </w:r>
      <w:r w:rsidR="008C6B99">
        <w:t>,</w:t>
      </w:r>
      <w:r>
        <w:t xml:space="preserve"> </w:t>
      </w:r>
      <w:r w:rsidR="008C6B99">
        <w:t xml:space="preserve">which must present </w:t>
      </w:r>
      <w:r>
        <w:t>a factual statement of the income and expenditure flows over the course of the 202</w:t>
      </w:r>
      <w:r w:rsidR="00262CE3">
        <w:t>2/23</w:t>
      </w:r>
      <w:r>
        <w:t xml:space="preserve"> financial year, and a snapshot of the Balance Sheet position as at 31st March 202</w:t>
      </w:r>
      <w:r w:rsidR="00262CE3">
        <w:t>3</w:t>
      </w:r>
      <w:r>
        <w:t xml:space="preserve">. </w:t>
      </w:r>
    </w:p>
    <w:p w:rsidR="00D32CCE" w:rsidRPr="00D32CCE" w:rsidP="00D32CCE" w14:paraId="62210652" w14:textId="77777777">
      <w:pPr>
        <w:spacing w:after="0" w:line="240" w:lineRule="auto"/>
        <w:ind w:left="567"/>
        <w:jc w:val="both"/>
        <w:rPr>
          <w:rFonts w:cstheme="minorHAnsi"/>
          <w:bCs/>
          <w:iCs/>
        </w:rPr>
      </w:pPr>
    </w:p>
    <w:p w:rsidR="00D32CCE" w:rsidRPr="00883AC9" w:rsidP="00E10BF8" w14:paraId="27FC5E4B" w14:textId="21039F9A">
      <w:pPr>
        <w:numPr>
          <w:ilvl w:val="0"/>
          <w:numId w:val="11"/>
        </w:numPr>
        <w:spacing w:after="0" w:line="240" w:lineRule="auto"/>
        <w:ind w:left="567" w:hanging="567"/>
        <w:jc w:val="both"/>
        <w:rPr>
          <w:rFonts w:cstheme="minorHAnsi"/>
          <w:bCs/>
          <w:iCs/>
        </w:rPr>
      </w:pPr>
      <w:r>
        <w:t>All financial implications relating to the final budget outturn position have been set out in the Revenue and Capital Outturn Reports 202</w:t>
      </w:r>
      <w:r w:rsidR="00262CE3">
        <w:t>2/23</w:t>
      </w:r>
      <w:r>
        <w:t xml:space="preserve">, </w:t>
      </w:r>
      <w:r w:rsidR="008C6B99">
        <w:t xml:space="preserve">and </w:t>
      </w:r>
      <w:r>
        <w:t>which were considered by Cabinet on 2</w:t>
      </w:r>
      <w:r w:rsidR="00262CE3">
        <w:t>1</w:t>
      </w:r>
      <w:r w:rsidRPr="00262CE3" w:rsidR="00262CE3">
        <w:rPr>
          <w:vertAlign w:val="superscript"/>
        </w:rPr>
        <w:t>st</w:t>
      </w:r>
      <w:r>
        <w:t xml:space="preserve"> June 202</w:t>
      </w:r>
      <w:r w:rsidR="00262CE3">
        <w:t>3</w:t>
      </w:r>
      <w:r>
        <w:t>.</w:t>
      </w:r>
    </w:p>
    <w:p w:rsidR="00D1305C" w:rsidRPr="00D4431F" w:rsidP="002F1805" w14:paraId="17BA294F" w14:textId="77777777">
      <w:pPr>
        <w:spacing w:after="0" w:line="240" w:lineRule="auto"/>
        <w:jc w:val="both"/>
        <w:rPr>
          <w:rFonts w:cstheme="minorHAnsi"/>
          <w:bCs/>
        </w:rPr>
      </w:pPr>
    </w:p>
    <w:p w:rsidR="00BC0624" w:rsidP="006D56BC" w14:paraId="7C7BF777" w14:textId="77777777">
      <w:pPr>
        <w:pStyle w:val="Heading2"/>
      </w:pPr>
    </w:p>
    <w:p w:rsidR="00BC0624" w:rsidP="006D56BC" w14:paraId="1245FF2E" w14:textId="77777777">
      <w:pPr>
        <w:pStyle w:val="Heading2"/>
      </w:pPr>
    </w:p>
    <w:p w:rsidR="00BC0624" w:rsidP="006D56BC" w14:paraId="1FD81F2C" w14:textId="77777777">
      <w:pPr>
        <w:pStyle w:val="Heading2"/>
      </w:pPr>
    </w:p>
    <w:p w:rsidR="00D1305C" w:rsidP="006D56BC" w14:paraId="5BCF68CE" w14:textId="225B339F">
      <w:pPr>
        <w:pStyle w:val="Heading2"/>
      </w:pPr>
      <w:r w:rsidRPr="008C37E1">
        <w:t>Comments of the Monitoring Officer</w:t>
      </w:r>
    </w:p>
    <w:p w:rsidR="008C37E1" w:rsidRPr="008C37E1" w:rsidP="00465B5C" w14:paraId="3EF48E03" w14:textId="77777777">
      <w:pPr>
        <w:spacing w:after="0"/>
      </w:pPr>
    </w:p>
    <w:p w:rsidR="00D1305C" w:rsidRPr="008C6B99" w:rsidP="00E10BF8" w14:paraId="46F8E780" w14:textId="704267D2">
      <w:pPr>
        <w:numPr>
          <w:ilvl w:val="0"/>
          <w:numId w:val="11"/>
        </w:numPr>
        <w:spacing w:after="0" w:line="240" w:lineRule="auto"/>
        <w:ind w:left="567" w:hanging="567"/>
        <w:jc w:val="both"/>
        <w:rPr>
          <w:rFonts w:cstheme="minorHAnsi"/>
          <w:bCs/>
          <w:iCs/>
        </w:rPr>
      </w:pPr>
      <w:r w:rsidRPr="008C6B99">
        <w:rPr>
          <w:rFonts w:cstheme="minorHAnsi"/>
          <w:bCs/>
          <w:iCs/>
        </w:rPr>
        <w:t xml:space="preserve">The </w:t>
      </w:r>
      <w:r w:rsidRPr="008C6B99">
        <w:t xml:space="preserve">legal implications are in respect of the Accounts and Audit Regulations 2015 (as amended) 2022, and the requirement that the </w:t>
      </w:r>
      <w:r w:rsidR="00262CE3">
        <w:t>A</w:t>
      </w:r>
      <w:r w:rsidRPr="008C6B99">
        <w:t xml:space="preserve">ccounts must be compliant with the relevant </w:t>
      </w:r>
      <w:r w:rsidR="00262CE3">
        <w:t>A</w:t>
      </w:r>
      <w:r w:rsidRPr="008C6B99">
        <w:t xml:space="preserve">ccounting </w:t>
      </w:r>
      <w:r w:rsidR="00262CE3">
        <w:t>S</w:t>
      </w:r>
      <w:r w:rsidRPr="008C6B99">
        <w:t xml:space="preserve">tandards and </w:t>
      </w:r>
      <w:r w:rsidR="00262CE3">
        <w:t>C</w:t>
      </w:r>
      <w:r w:rsidRPr="008C6B99">
        <w:t xml:space="preserve">odes of </w:t>
      </w:r>
      <w:r w:rsidR="00262CE3">
        <w:t>P</w:t>
      </w:r>
      <w:r w:rsidRPr="008C6B99">
        <w:t>ractice and must be prepared on a true and fair view basis. Failure to comply could result in a failure to meet the statutory duty</w:t>
      </w:r>
      <w:r w:rsidRPr="008C6B99" w:rsidR="008C6B99">
        <w:rPr>
          <w:rFonts w:cstheme="minorHAnsi"/>
          <w:bCs/>
          <w:iCs/>
        </w:rPr>
        <w:t xml:space="preserve">. </w:t>
      </w:r>
    </w:p>
    <w:p w:rsidR="00D1305C" w:rsidRPr="002F1805" w:rsidP="006D56BC" w14:paraId="55D5EE3E" w14:textId="77777777">
      <w:pPr>
        <w:spacing w:after="0"/>
      </w:pPr>
    </w:p>
    <w:p w:rsidR="006D56BC" w:rsidP="006B7CC3" w14:paraId="0B21AB13" w14:textId="77777777">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rsidR="006D56BC" w:rsidP="006D56BC" w14:paraId="25ACB69F" w14:textId="77777777">
      <w:pPr>
        <w:spacing w:after="0" w:line="20" w:lineRule="atLeast"/>
        <w:rPr>
          <w:lang w:eastAsia="en-GB"/>
        </w:rPr>
      </w:pPr>
    </w:p>
    <w:p w:rsidR="00F97801" w:rsidP="00F97801" w14:paraId="6DE6A682" w14:textId="77777777">
      <w:pPr>
        <w:pStyle w:val="ListParagraph"/>
        <w:numPr>
          <w:ilvl w:val="0"/>
          <w:numId w:val="16"/>
        </w:numPr>
        <w:spacing w:after="0" w:line="20" w:lineRule="atLeast"/>
      </w:pPr>
      <w:r>
        <w:t xml:space="preserve">Accounts and Audit (England) Regulations 2015 (as amended) 2022 </w:t>
      </w:r>
    </w:p>
    <w:p w:rsidR="00F97801" w:rsidRPr="005A5798" w:rsidP="00F97801" w14:paraId="448EC4A2" w14:textId="4D45C989">
      <w:pPr>
        <w:pStyle w:val="ListParagraph"/>
        <w:numPr>
          <w:ilvl w:val="0"/>
          <w:numId w:val="16"/>
        </w:numPr>
        <w:spacing w:after="0" w:line="20" w:lineRule="atLeast"/>
        <w:rPr>
          <w:iCs/>
        </w:rPr>
      </w:pPr>
      <w:r>
        <w:t>CIPFA Code of Practice on Local Authority Accounting in the United Kingdom 202</w:t>
      </w:r>
      <w:r w:rsidR="00262CE3">
        <w:t>2/23.</w:t>
      </w:r>
    </w:p>
    <w:p w:rsidR="005A5798" w:rsidP="005A5798" w14:paraId="2DA10FD3" w14:textId="77777777">
      <w:pPr>
        <w:pStyle w:val="ListParagraph"/>
        <w:spacing w:after="0" w:line="20" w:lineRule="atLeast"/>
        <w:ind w:left="927"/>
      </w:pPr>
    </w:p>
    <w:p w:rsidR="005A5798" w:rsidRPr="00F97801" w:rsidP="005A5798" w14:paraId="526F02BA" w14:textId="77777777">
      <w:pPr>
        <w:pStyle w:val="ListParagraph"/>
        <w:spacing w:after="0" w:line="20" w:lineRule="atLeast"/>
        <w:ind w:left="927"/>
        <w:rPr>
          <w:i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7"/>
        <w:gridCol w:w="3461"/>
        <w:gridCol w:w="1460"/>
        <w:gridCol w:w="1113"/>
      </w:tblGrid>
      <w:tr w14:paraId="57F81002" w14:textId="77777777" w:rsidTr="005A5798">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87" w:type="dxa"/>
            <w:shd w:val="clear" w:color="auto" w:fill="auto"/>
          </w:tcPr>
          <w:p w:rsidR="00D1305C" w:rsidRPr="00D1305C" w:rsidP="00D1305C" w14:paraId="1BC87C2B"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3461" w:type="dxa"/>
          </w:tcPr>
          <w:p w:rsidR="00D1305C" w:rsidRPr="00D1305C" w:rsidP="00D1305C" w14:paraId="75503511"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460" w:type="dxa"/>
            <w:shd w:val="clear" w:color="auto" w:fill="auto"/>
          </w:tcPr>
          <w:p w:rsidR="00D1305C" w:rsidRPr="00D1305C" w:rsidP="00D1305C" w14:paraId="2110CDE8"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13" w:type="dxa"/>
            <w:shd w:val="clear" w:color="auto" w:fill="auto"/>
          </w:tcPr>
          <w:p w:rsidR="00D1305C" w:rsidRPr="00D1305C" w:rsidP="00D1305C" w14:paraId="1CB7F328"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14:paraId="7CC93021" w14:textId="77777777" w:rsidTr="005A5798">
        <w:tblPrEx>
          <w:tblW w:w="0" w:type="auto"/>
          <w:tblInd w:w="-5" w:type="dxa"/>
          <w:tblLook w:val="04A0"/>
        </w:tblPrEx>
        <w:tc>
          <w:tcPr>
            <w:tcW w:w="2987" w:type="dxa"/>
            <w:shd w:val="clear" w:color="auto" w:fill="auto"/>
          </w:tcPr>
          <w:p w:rsidR="00D1305C" w:rsidRPr="00D1305C" w:rsidP="00EF0D35" w14:paraId="628B0BB2" w14:textId="772D688F">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Jean Waddington</w:t>
            </w:r>
            <w:r w:rsidRPr="00D1305C" w:rsidR="008C6B99">
              <w:rPr>
                <w:rFonts w:eastAsia="Times New Roman" w:cstheme="minorHAnsi"/>
                <w:bCs/>
                <w:color w:val="000000" w:themeColor="text1"/>
                <w:kern w:val="36"/>
                <w:lang w:eastAsia="en-GB"/>
              </w:rPr>
              <w:fldChar w:fldCharType="begin"/>
            </w:r>
            <w:r w:rsidRPr="00D1305C" w:rsidR="008C6B99">
              <w:rPr>
                <w:rFonts w:eastAsia="Times New Roman" w:cstheme="minorHAnsi"/>
                <w:bCs/>
                <w:color w:val="000000" w:themeColor="text1"/>
                <w:kern w:val="36"/>
                <w:lang w:eastAsia="en-GB"/>
              </w:rPr>
              <w:instrText xml:space="preserve"> DOCPROPERTY  LeadOfficer  \* MERGEFORMAT </w:instrText>
            </w:r>
            <w:r w:rsidR="00BC0624">
              <w:rPr>
                <w:rFonts w:eastAsia="Times New Roman" w:cstheme="minorHAnsi"/>
                <w:bCs/>
                <w:color w:val="000000" w:themeColor="text1"/>
                <w:kern w:val="36"/>
                <w:lang w:eastAsia="en-GB"/>
              </w:rPr>
              <w:fldChar w:fldCharType="separate"/>
            </w:r>
            <w:r w:rsidRPr="00D1305C" w:rsidR="008C6B99">
              <w:rPr>
                <w:rFonts w:eastAsia="Times New Roman" w:cstheme="minorHAnsi"/>
                <w:bCs/>
                <w:color w:val="000000" w:themeColor="text1"/>
                <w:kern w:val="36"/>
                <w:lang w:val="en" w:eastAsia="en-GB"/>
              </w:rPr>
              <w:fldChar w:fldCharType="end"/>
            </w:r>
            <w:r w:rsidRPr="00D1305C" w:rsidR="008C6B99">
              <w:rPr>
                <w:rFonts w:eastAsia="Times New Roman" w:cstheme="minorHAnsi"/>
                <w:bCs/>
                <w:color w:val="000000" w:themeColor="text1"/>
                <w:kern w:val="36"/>
                <w:lang w:eastAsia="en-GB"/>
              </w:rPr>
              <w:t xml:space="preserve"> (</w:t>
            </w:r>
            <w:r>
              <w:rPr>
                <w:rFonts w:eastAsia="Times New Roman" w:cstheme="minorHAnsi"/>
                <w:bCs/>
                <w:color w:val="000000" w:themeColor="text1"/>
                <w:kern w:val="36"/>
                <w:lang w:eastAsia="en-GB"/>
              </w:rPr>
              <w:t xml:space="preserve">Principal Financial </w:t>
            </w:r>
            <w:r>
              <w:rPr>
                <w:rFonts w:eastAsia="Times New Roman" w:cstheme="minorHAnsi"/>
                <w:bCs/>
                <w:color w:val="000000" w:themeColor="text1"/>
                <w:kern w:val="36"/>
                <w:lang w:eastAsia="en-GB"/>
              </w:rPr>
              <w:t>Accoutant</w:t>
            </w:r>
            <w:r w:rsidRPr="00D1305C" w:rsidR="008C6B99">
              <w:rPr>
                <w:rFonts w:eastAsia="Times New Roman" w:cstheme="minorHAnsi"/>
                <w:bCs/>
                <w:color w:val="000000" w:themeColor="text1"/>
                <w:kern w:val="36"/>
                <w:lang w:eastAsia="en-GB"/>
              </w:rPr>
              <w:fldChar w:fldCharType="begin"/>
            </w:r>
            <w:r w:rsidRPr="00D1305C" w:rsidR="008C6B99">
              <w:rPr>
                <w:rFonts w:eastAsia="Times New Roman" w:cstheme="minorHAnsi"/>
                <w:bCs/>
                <w:color w:val="000000" w:themeColor="text1"/>
                <w:kern w:val="36"/>
                <w:lang w:eastAsia="en-GB"/>
              </w:rPr>
              <w:instrText xml:space="preserve"> DOCPROPERTY  LeadOfficerPost  \* MERGEFORMAT </w:instrText>
            </w:r>
            <w:r w:rsidR="00BC0624">
              <w:rPr>
                <w:rFonts w:eastAsia="Times New Roman" w:cstheme="minorHAnsi"/>
                <w:bCs/>
                <w:color w:val="000000" w:themeColor="text1"/>
                <w:kern w:val="36"/>
                <w:lang w:eastAsia="en-GB"/>
              </w:rPr>
              <w:fldChar w:fldCharType="separate"/>
            </w:r>
            <w:r w:rsidRPr="00D1305C" w:rsidR="008C6B99">
              <w:rPr>
                <w:rFonts w:eastAsia="Times New Roman" w:cstheme="minorHAnsi"/>
                <w:bCs/>
                <w:color w:val="000000" w:themeColor="text1"/>
                <w:kern w:val="36"/>
                <w:lang w:val="en" w:eastAsia="en-GB"/>
              </w:rPr>
              <w:fldChar w:fldCharType="end"/>
            </w:r>
            <w:r w:rsidRPr="00D1305C" w:rsidR="008C6B99">
              <w:rPr>
                <w:rFonts w:eastAsia="Times New Roman" w:cstheme="minorHAnsi"/>
                <w:bCs/>
                <w:color w:val="000000" w:themeColor="text1"/>
                <w:kern w:val="36"/>
                <w:lang w:eastAsia="en-GB"/>
              </w:rPr>
              <w:t>)</w:t>
            </w:r>
          </w:p>
        </w:tc>
        <w:tc>
          <w:tcPr>
            <w:tcW w:w="3461" w:type="dxa"/>
          </w:tcPr>
          <w:p w:rsidR="00D1305C" w:rsidRPr="00D1305C" w:rsidP="00EF0D35" w14:paraId="0B4C85E2" w14:textId="48ABCB1B">
            <w:pPr>
              <w:jc w:val="both"/>
              <w:rPr>
                <w:rFonts w:eastAsia="Times New Roman" w:cstheme="minorHAnsi"/>
                <w:bCs/>
                <w:color w:val="000000" w:themeColor="text1"/>
                <w:kern w:val="36"/>
                <w:lang w:eastAsia="en-GB"/>
              </w:rPr>
            </w:pPr>
            <w:hyperlink r:id="rId7" w:history="1">
              <w:r w:rsidRPr="007F575E" w:rsidR="00262CE3">
                <w:rPr>
                  <w:rStyle w:val="Hyperlink"/>
                  <w:rFonts w:eastAsia="Times New Roman" w:cstheme="minorHAnsi"/>
                  <w:bCs/>
                  <w:kern w:val="36"/>
                  <w:lang w:eastAsia="en-GB"/>
                </w:rPr>
                <w:t>jean.waddington@chorley.gov.uk</w:t>
              </w:r>
            </w:hyperlink>
          </w:p>
        </w:tc>
        <w:tc>
          <w:tcPr>
            <w:tcW w:w="1460" w:type="dxa"/>
            <w:tcBorders>
              <w:bottom w:val="single" w:sz="4" w:space="0" w:color="auto"/>
            </w:tcBorders>
            <w:shd w:val="clear" w:color="auto" w:fill="auto"/>
          </w:tcPr>
          <w:p w:rsidR="00D1305C" w:rsidRPr="00D1305C" w:rsidP="00EF0D35" w14:paraId="11B8D6E4" w14:textId="59DBEEDA">
            <w:pPr>
              <w:jc w:val="both"/>
              <w:rPr>
                <w:rFonts w:eastAsia="Times New Roman" w:cstheme="minorHAnsi"/>
                <w:bCs/>
                <w:color w:val="000000" w:themeColor="text1"/>
                <w:kern w:val="36"/>
                <w:lang w:eastAsia="en-GB"/>
              </w:rPr>
            </w:pPr>
            <w:r>
              <w:t>01257 515151</w:t>
            </w:r>
          </w:p>
        </w:tc>
        <w:tc>
          <w:tcPr>
            <w:tcW w:w="1113" w:type="dxa"/>
            <w:shd w:val="clear" w:color="auto" w:fill="auto"/>
          </w:tcPr>
          <w:p w:rsidR="008056AE" w:rsidRPr="00D1305C" w:rsidP="00EF0D35" w14:paraId="7B18AD9C" w14:textId="3842C7B4">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30.1.24</w:t>
            </w:r>
          </w:p>
        </w:tc>
      </w:tr>
    </w:tbl>
    <w:p w:rsidR="0025620C" w:rsidRPr="00A95452" w:rsidP="006D56BC" w14:paraId="4D4868EF" w14:textId="77777777">
      <w:pPr>
        <w:spacing w:after="0" w:line="240" w:lineRule="auto"/>
      </w:pPr>
    </w:p>
    <w:sectPr w:rsidSect="00672DCA">
      <w:pgSz w:w="11906" w:h="16838"/>
      <w:pgMar w:top="851"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B048E3"/>
    <w:multiLevelType w:val="multilevel"/>
    <w:tmpl w:val="15BE56EE"/>
    <w:lvl w:ilvl="0">
      <w:start w:val="1"/>
      <w:numFmt w:val="bullet"/>
      <w:lvlText w:val=""/>
      <w:lvlJc w:val="left"/>
      <w:pPr>
        <w:ind w:left="927" w:hanging="360"/>
      </w:pPr>
      <w:rPr>
        <w:rFonts w:ascii="Symbol" w:hAnsi="Symbol" w:hint="default"/>
        <w:b w:val="0"/>
        <w:bCs w:val="0"/>
        <w:i w:val="0"/>
        <w:color w:val="auto"/>
      </w:rPr>
    </w:lvl>
    <w:lvl w:ilvl="1">
      <w:start w:val="1"/>
      <w:numFmt w:val="lowerLetter"/>
      <w:lvlText w:val="%2."/>
      <w:lvlJc w:val="left"/>
      <w:pPr>
        <w:ind w:left="1221" w:hanging="360"/>
      </w:pPr>
      <w:rPr>
        <w:rFonts w:hint="default"/>
      </w:rPr>
    </w:lvl>
    <w:lvl w:ilvl="2">
      <w:start w:val="1"/>
      <w:numFmt w:val="lowerRoman"/>
      <w:lvlText w:val="%3."/>
      <w:lvlJc w:val="right"/>
      <w:pPr>
        <w:ind w:left="1941" w:hanging="180"/>
      </w:pPr>
      <w:rPr>
        <w:rFonts w:hint="default"/>
      </w:rPr>
    </w:lvl>
    <w:lvl w:ilvl="3">
      <w:start w:val="1"/>
      <w:numFmt w:val="decimal"/>
      <w:lvlText w:val="%4."/>
      <w:lvlJc w:val="left"/>
      <w:pPr>
        <w:ind w:left="2661" w:hanging="360"/>
      </w:pPr>
      <w:rPr>
        <w:rFonts w:hint="default"/>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1">
    <w:nsid w:val="07685A61"/>
    <w:multiLevelType w:val="multilevel"/>
    <w:tmpl w:val="15BE56EE"/>
    <w:lvl w:ilvl="0">
      <w:start w:val="1"/>
      <w:numFmt w:val="bullet"/>
      <w:lvlText w:val=""/>
      <w:lvlJc w:val="left"/>
      <w:pPr>
        <w:ind w:left="927" w:hanging="360"/>
      </w:pPr>
      <w:rPr>
        <w:rFonts w:ascii="Symbol" w:hAnsi="Symbol" w:hint="default"/>
        <w:b w:val="0"/>
        <w:bCs w:val="0"/>
        <w:i w:val="0"/>
        <w:color w:val="auto"/>
      </w:rPr>
    </w:lvl>
    <w:lvl w:ilvl="1">
      <w:start w:val="1"/>
      <w:numFmt w:val="lowerLetter"/>
      <w:lvlText w:val="%2."/>
      <w:lvlJc w:val="left"/>
      <w:pPr>
        <w:ind w:left="1221" w:hanging="360"/>
      </w:pPr>
      <w:rPr>
        <w:rFonts w:hint="default"/>
      </w:rPr>
    </w:lvl>
    <w:lvl w:ilvl="2">
      <w:start w:val="1"/>
      <w:numFmt w:val="lowerRoman"/>
      <w:lvlText w:val="%3."/>
      <w:lvlJc w:val="right"/>
      <w:pPr>
        <w:ind w:left="1941" w:hanging="180"/>
      </w:pPr>
      <w:rPr>
        <w:rFonts w:hint="default"/>
      </w:rPr>
    </w:lvl>
    <w:lvl w:ilvl="3">
      <w:start w:val="1"/>
      <w:numFmt w:val="decimal"/>
      <w:lvlText w:val="%4."/>
      <w:lvlJc w:val="left"/>
      <w:pPr>
        <w:ind w:left="2661" w:hanging="360"/>
      </w:pPr>
      <w:rPr>
        <w:rFonts w:hint="default"/>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2">
    <w:nsid w:val="0955318B"/>
    <w:multiLevelType w:val="hybridMultilevel"/>
    <w:tmpl w:val="BA2EFF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4">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5435624"/>
    <w:multiLevelType w:val="multilevel"/>
    <w:tmpl w:val="220C9A0C"/>
    <w:lvl w:ilvl="0">
      <w:start w:val="6"/>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CC44717"/>
    <w:multiLevelType w:val="hybridMultilevel"/>
    <w:tmpl w:val="063CA8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CE03EA3"/>
    <w:multiLevelType w:val="hybridMultilevel"/>
    <w:tmpl w:val="7F0C52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612E7A81"/>
    <w:multiLevelType w:val="multilevel"/>
    <w:tmpl w:val="15BE56EE"/>
    <w:lvl w:ilvl="0">
      <w:start w:val="1"/>
      <w:numFmt w:val="bullet"/>
      <w:lvlText w:val=""/>
      <w:lvlJc w:val="left"/>
      <w:pPr>
        <w:ind w:left="927" w:hanging="360"/>
      </w:pPr>
      <w:rPr>
        <w:rFonts w:ascii="Symbol" w:hAnsi="Symbol" w:hint="default"/>
        <w:b w:val="0"/>
        <w:bCs w:val="0"/>
        <w:i w:val="0"/>
        <w:color w:val="auto"/>
      </w:rPr>
    </w:lvl>
    <w:lvl w:ilvl="1">
      <w:start w:val="1"/>
      <w:numFmt w:val="lowerLetter"/>
      <w:lvlText w:val="%2."/>
      <w:lvlJc w:val="left"/>
      <w:pPr>
        <w:ind w:left="1221" w:hanging="360"/>
      </w:pPr>
      <w:rPr>
        <w:rFonts w:hint="default"/>
      </w:rPr>
    </w:lvl>
    <w:lvl w:ilvl="2">
      <w:start w:val="1"/>
      <w:numFmt w:val="lowerRoman"/>
      <w:lvlText w:val="%3."/>
      <w:lvlJc w:val="right"/>
      <w:pPr>
        <w:ind w:left="1941" w:hanging="180"/>
      </w:pPr>
      <w:rPr>
        <w:rFonts w:hint="default"/>
      </w:rPr>
    </w:lvl>
    <w:lvl w:ilvl="3">
      <w:start w:val="1"/>
      <w:numFmt w:val="decimal"/>
      <w:lvlText w:val="%4."/>
      <w:lvlJc w:val="left"/>
      <w:pPr>
        <w:ind w:left="2661" w:hanging="360"/>
      </w:pPr>
      <w:rPr>
        <w:rFonts w:hint="default"/>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12">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BA37DBA"/>
    <w:multiLevelType w:val="multilevel"/>
    <w:tmpl w:val="2796F5C6"/>
    <w:lvl w:ilvl="0">
      <w:start w:val="5"/>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5">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83997512">
    <w:abstractNumId w:val="15"/>
  </w:num>
  <w:num w:numId="2" w16cid:durableId="742801883">
    <w:abstractNumId w:val="13"/>
  </w:num>
  <w:num w:numId="3" w16cid:durableId="973830675">
    <w:abstractNumId w:val="8"/>
  </w:num>
  <w:num w:numId="4" w16cid:durableId="1596593468">
    <w:abstractNumId w:val="12"/>
  </w:num>
  <w:num w:numId="5" w16cid:durableId="1806970559">
    <w:abstractNumId w:val="7"/>
  </w:num>
  <w:num w:numId="6" w16cid:durableId="1318681237">
    <w:abstractNumId w:val="3"/>
  </w:num>
  <w:num w:numId="7" w16cid:durableId="1428428645">
    <w:abstractNumId w:val="4"/>
  </w:num>
  <w:num w:numId="8" w16cid:durableId="1813909685">
    <w:abstractNumId w:val="10"/>
  </w:num>
  <w:num w:numId="9" w16cid:durableId="207884830">
    <w:abstractNumId w:val="16"/>
  </w:num>
  <w:num w:numId="10" w16cid:durableId="279843707">
    <w:abstractNumId w:val="14"/>
  </w:num>
  <w:num w:numId="11" w16cid:durableId="1112477180">
    <w:abstractNumId w:val="5"/>
  </w:num>
  <w:num w:numId="12" w16cid:durableId="2117823841">
    <w:abstractNumId w:val="6"/>
  </w:num>
  <w:num w:numId="13" w16cid:durableId="1475676351">
    <w:abstractNumId w:val="2"/>
  </w:num>
  <w:num w:numId="14" w16cid:durableId="1949464665">
    <w:abstractNumId w:val="9"/>
  </w:num>
  <w:num w:numId="15" w16cid:durableId="753210416">
    <w:abstractNumId w:val="1"/>
  </w:num>
  <w:num w:numId="16" w16cid:durableId="1606494450">
    <w:abstractNumId w:val="0"/>
  </w:num>
  <w:num w:numId="17" w16cid:durableId="20537226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467AD"/>
    <w:rsid w:val="00053669"/>
    <w:rsid w:val="0006776F"/>
    <w:rsid w:val="00080228"/>
    <w:rsid w:val="0009071E"/>
    <w:rsid w:val="000A672E"/>
    <w:rsid w:val="000F75CB"/>
    <w:rsid w:val="00101643"/>
    <w:rsid w:val="00126587"/>
    <w:rsid w:val="00163649"/>
    <w:rsid w:val="001C3756"/>
    <w:rsid w:val="001C6ED7"/>
    <w:rsid w:val="001D3B9C"/>
    <w:rsid w:val="001F2A40"/>
    <w:rsid w:val="001F7768"/>
    <w:rsid w:val="00210AEC"/>
    <w:rsid w:val="00224B8E"/>
    <w:rsid w:val="0025620C"/>
    <w:rsid w:val="00262CE3"/>
    <w:rsid w:val="00273876"/>
    <w:rsid w:val="00275E7C"/>
    <w:rsid w:val="00282A51"/>
    <w:rsid w:val="00284855"/>
    <w:rsid w:val="002A0009"/>
    <w:rsid w:val="002A5BA0"/>
    <w:rsid w:val="002C4DAB"/>
    <w:rsid w:val="002F06A9"/>
    <w:rsid w:val="002F1805"/>
    <w:rsid w:val="002F4B61"/>
    <w:rsid w:val="0032368D"/>
    <w:rsid w:val="00331A01"/>
    <w:rsid w:val="00351641"/>
    <w:rsid w:val="00351879"/>
    <w:rsid w:val="00367901"/>
    <w:rsid w:val="00380522"/>
    <w:rsid w:val="003806F9"/>
    <w:rsid w:val="00380976"/>
    <w:rsid w:val="003B02F5"/>
    <w:rsid w:val="003E3722"/>
    <w:rsid w:val="003E3AB0"/>
    <w:rsid w:val="003F64E2"/>
    <w:rsid w:val="003F68E4"/>
    <w:rsid w:val="00402D18"/>
    <w:rsid w:val="0041722B"/>
    <w:rsid w:val="00457821"/>
    <w:rsid w:val="00465B5C"/>
    <w:rsid w:val="004758E2"/>
    <w:rsid w:val="00483CC4"/>
    <w:rsid w:val="00490A28"/>
    <w:rsid w:val="0049437A"/>
    <w:rsid w:val="004A7EEA"/>
    <w:rsid w:val="004D00CB"/>
    <w:rsid w:val="004D317C"/>
    <w:rsid w:val="00510168"/>
    <w:rsid w:val="00522E7D"/>
    <w:rsid w:val="0052562F"/>
    <w:rsid w:val="00542184"/>
    <w:rsid w:val="00543959"/>
    <w:rsid w:val="005629DD"/>
    <w:rsid w:val="00576DC5"/>
    <w:rsid w:val="00584159"/>
    <w:rsid w:val="005A5798"/>
    <w:rsid w:val="005C5465"/>
    <w:rsid w:val="005C7F0B"/>
    <w:rsid w:val="005E7794"/>
    <w:rsid w:val="005E7DD4"/>
    <w:rsid w:val="0060685F"/>
    <w:rsid w:val="00613634"/>
    <w:rsid w:val="00613EC1"/>
    <w:rsid w:val="00617525"/>
    <w:rsid w:val="00627A92"/>
    <w:rsid w:val="00641609"/>
    <w:rsid w:val="00643408"/>
    <w:rsid w:val="00672DCA"/>
    <w:rsid w:val="006A7267"/>
    <w:rsid w:val="006B1C4D"/>
    <w:rsid w:val="006B62C4"/>
    <w:rsid w:val="006B7CC3"/>
    <w:rsid w:val="006D56BC"/>
    <w:rsid w:val="006F27C3"/>
    <w:rsid w:val="00706128"/>
    <w:rsid w:val="00737971"/>
    <w:rsid w:val="00742F7B"/>
    <w:rsid w:val="007637E9"/>
    <w:rsid w:val="00774BC4"/>
    <w:rsid w:val="0078549D"/>
    <w:rsid w:val="007948D6"/>
    <w:rsid w:val="007A6729"/>
    <w:rsid w:val="007C24B7"/>
    <w:rsid w:val="007C7E3E"/>
    <w:rsid w:val="007E4570"/>
    <w:rsid w:val="007E4749"/>
    <w:rsid w:val="007F099D"/>
    <w:rsid w:val="007F575E"/>
    <w:rsid w:val="00802E59"/>
    <w:rsid w:val="00804F02"/>
    <w:rsid w:val="008056AE"/>
    <w:rsid w:val="00812062"/>
    <w:rsid w:val="0085583E"/>
    <w:rsid w:val="00857BD9"/>
    <w:rsid w:val="00860959"/>
    <w:rsid w:val="00883AC9"/>
    <w:rsid w:val="008A4C2F"/>
    <w:rsid w:val="008B2D37"/>
    <w:rsid w:val="008C37E1"/>
    <w:rsid w:val="008C6B99"/>
    <w:rsid w:val="008D541D"/>
    <w:rsid w:val="008F13BA"/>
    <w:rsid w:val="0091336F"/>
    <w:rsid w:val="009157BD"/>
    <w:rsid w:val="009472CD"/>
    <w:rsid w:val="00947881"/>
    <w:rsid w:val="00957931"/>
    <w:rsid w:val="00974AB3"/>
    <w:rsid w:val="00987CBD"/>
    <w:rsid w:val="009A018E"/>
    <w:rsid w:val="009A0988"/>
    <w:rsid w:val="009A514D"/>
    <w:rsid w:val="009C1604"/>
    <w:rsid w:val="009D625C"/>
    <w:rsid w:val="00A0164F"/>
    <w:rsid w:val="00A356DB"/>
    <w:rsid w:val="00A47DF8"/>
    <w:rsid w:val="00A63A7B"/>
    <w:rsid w:val="00A67766"/>
    <w:rsid w:val="00A851F7"/>
    <w:rsid w:val="00A95452"/>
    <w:rsid w:val="00A964C7"/>
    <w:rsid w:val="00B0500A"/>
    <w:rsid w:val="00B34E61"/>
    <w:rsid w:val="00B6683B"/>
    <w:rsid w:val="00B85F3A"/>
    <w:rsid w:val="00B8772E"/>
    <w:rsid w:val="00B95697"/>
    <w:rsid w:val="00BA2420"/>
    <w:rsid w:val="00BC0624"/>
    <w:rsid w:val="00BC25D4"/>
    <w:rsid w:val="00BC3CC9"/>
    <w:rsid w:val="00BE1920"/>
    <w:rsid w:val="00BE5BEB"/>
    <w:rsid w:val="00BE77AB"/>
    <w:rsid w:val="00C03CA4"/>
    <w:rsid w:val="00C3676B"/>
    <w:rsid w:val="00CA1E1F"/>
    <w:rsid w:val="00CD4005"/>
    <w:rsid w:val="00CE1930"/>
    <w:rsid w:val="00CF622A"/>
    <w:rsid w:val="00D01FF9"/>
    <w:rsid w:val="00D0369E"/>
    <w:rsid w:val="00D04144"/>
    <w:rsid w:val="00D1305C"/>
    <w:rsid w:val="00D32CCE"/>
    <w:rsid w:val="00D4431F"/>
    <w:rsid w:val="00DF59D9"/>
    <w:rsid w:val="00DF7476"/>
    <w:rsid w:val="00E05F7E"/>
    <w:rsid w:val="00E06F2E"/>
    <w:rsid w:val="00E10BF8"/>
    <w:rsid w:val="00E53D73"/>
    <w:rsid w:val="00E709F7"/>
    <w:rsid w:val="00E75510"/>
    <w:rsid w:val="00E811D7"/>
    <w:rsid w:val="00E87F45"/>
    <w:rsid w:val="00E93B5C"/>
    <w:rsid w:val="00E963B8"/>
    <w:rsid w:val="00EC0007"/>
    <w:rsid w:val="00ED3333"/>
    <w:rsid w:val="00ED4FF1"/>
    <w:rsid w:val="00EF0D35"/>
    <w:rsid w:val="00EF651A"/>
    <w:rsid w:val="00F11DDB"/>
    <w:rsid w:val="00F26C7F"/>
    <w:rsid w:val="00F37B00"/>
    <w:rsid w:val="00F41F71"/>
    <w:rsid w:val="00F60644"/>
    <w:rsid w:val="00F90ED6"/>
    <w:rsid w:val="00F929C3"/>
    <w:rsid w:val="00F967A2"/>
    <w:rsid w:val="00F97801"/>
    <w:rsid w:val="00F97987"/>
    <w:rsid w:val="00FB2F2E"/>
    <w:rsid w:val="00FB3074"/>
    <w:rsid w:val="00FC05E1"/>
    <w:rsid w:val="00FC5CFD"/>
    <w:rsid w:val="00FE3F95"/>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1319A9BB"/>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hAnsi="Arial" w:eastAsiaTheme="majorEastAsia"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hAnsi="Arial" w:eastAsiaTheme="majorEastAsia"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character" w:styleId="Hyperlink">
    <w:name w:val="Hyperlink"/>
    <w:basedOn w:val="DefaultParagraphFont"/>
    <w:uiPriority w:val="99"/>
    <w:unhideWhenUsed/>
    <w:locked/>
    <w:rsid w:val="00262CE3"/>
    <w:rPr>
      <w:color w:val="0000FF" w:themeColor="hyperlink"/>
      <w:u w:val="single"/>
    </w:rPr>
  </w:style>
  <w:style w:type="character" w:styleId="UnresolvedMention">
    <w:name w:val="Unresolved Mention"/>
    <w:basedOn w:val="DefaultParagraphFont"/>
    <w:uiPriority w:val="99"/>
    <w:locked/>
    <w:rsid w:val="00262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mailto:jean.waddington@chorley.gov.uk"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Louise Mattinson</cp:lastModifiedBy>
  <cp:revision>6</cp:revision>
  <cp:lastPrinted>2014-03-21T13:56:00Z</cp:lastPrinted>
  <dcterms:created xsi:type="dcterms:W3CDTF">2024-01-30T12:14:00Z</dcterms:created>
  <dcterms:modified xsi:type="dcterms:W3CDTF">2024-01-30T14:19:00Z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Statement of Accounts 2021/22</vt:lpwstr>
  </property>
  <property fmtid="{D5CDD505-2E9C-101B-9397-08002B2CF9AE}" pid="4" name="LeadDirector">
    <vt:lpwstr>Director of Finance and Section 151 Officer</vt:lpwstr>
  </property>
  <property fmtid="{D5CDD505-2E9C-101B-9397-08002B2CF9AE}" pid="5" name="LeadMember">
    <vt:lpwstr/>
  </property>
  <property fmtid="{D5CDD505-2E9C-101B-9397-08002B2CF9AE}" pid="6" name="LeadOfficer">
    <vt:lpwstr>Louise Mattinson</vt:lpwstr>
  </property>
  <property fmtid="{D5CDD505-2E9C-101B-9397-08002B2CF9AE}" pid="7" name="LeadOfficerEmail">
    <vt:lpwstr>louise.mattinson@southribble.gov.uk</vt:lpwstr>
  </property>
  <property fmtid="{D5CDD505-2E9C-101B-9397-08002B2CF9AE}" pid="8" name="LeadOfficerPost">
    <vt:lpwstr>Director of Finance and Section 151 Officer</vt:lpwstr>
  </property>
  <property fmtid="{D5CDD505-2E9C-101B-9397-08002B2CF9AE}" pid="9" name="LeadOfficerTel">
    <vt:lpwstr/>
  </property>
  <property fmtid="{D5CDD505-2E9C-101B-9397-08002B2CF9AE}" pid="10" name="MeetingDate">
    <vt:lpwstr>Tuesday, 7 March 2023</vt:lpwstr>
  </property>
  <property fmtid="{D5CDD505-2E9C-101B-9397-08002B2CF9AE}" pid="11" name="MSIP_Label_f96679a5-570c-40a6-a557-668bc9231a44_ActionId">
    <vt:lpwstr>faff5a36-9b40-4e4b-b171-424d6005497c</vt:lpwstr>
  </property>
  <property fmtid="{D5CDD505-2E9C-101B-9397-08002B2CF9AE}" pid="12" name="MSIP_Label_f96679a5-570c-40a6-a557-668bc9231a44_ContentBits">
    <vt:lpwstr>0</vt:lpwstr>
  </property>
  <property fmtid="{D5CDD505-2E9C-101B-9397-08002B2CF9AE}" pid="13" name="MSIP_Label_f96679a5-570c-40a6-a557-668bc9231a44_Enabled">
    <vt:lpwstr>true</vt:lpwstr>
  </property>
  <property fmtid="{D5CDD505-2E9C-101B-9397-08002B2CF9AE}" pid="14" name="MSIP_Label_f96679a5-570c-40a6-a557-668bc9231a44_Method">
    <vt:lpwstr>Standard</vt:lpwstr>
  </property>
  <property fmtid="{D5CDD505-2E9C-101B-9397-08002B2CF9AE}" pid="15" name="MSIP_Label_f96679a5-570c-40a6-a557-668bc9231a44_Name">
    <vt:lpwstr>Internal</vt:lpwstr>
  </property>
  <property fmtid="{D5CDD505-2E9C-101B-9397-08002B2CF9AE}" pid="16" name="MSIP_Label_f96679a5-570c-40a6-a557-668bc9231a44_SetDate">
    <vt:lpwstr>2024-01-24T15:55:12Z</vt:lpwstr>
  </property>
  <property fmtid="{D5CDD505-2E9C-101B-9397-08002B2CF9AE}" pid="17" name="MSIP_Label_f96679a5-570c-40a6-a557-668bc9231a44_SiteId">
    <vt:lpwstr>20f96ace-1eb4-4e2b-bd81-aabea267ccfb</vt:lpwstr>
  </property>
</Properties>
</file>